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36E0060" w:rsidR="00D309CC" w:rsidRDefault="00D309CC" w:rsidP="006A4F6A">
      <w:pPr>
        <w:pStyle w:val="CH"/>
        <w:jc w:val="both"/>
      </w:pPr>
      <w:bookmarkStart w:id="0" w:name="historyclause"/>
      <w:r w:rsidRPr="00711632">
        <w:t>3GPP RAN</w:t>
      </w:r>
      <w:r w:rsidR="00CF20E3" w:rsidRPr="00711632">
        <w:t xml:space="preserve"> TSG</w:t>
      </w:r>
      <w:r w:rsidRPr="00711632">
        <w:t xml:space="preserve"> Meeting #</w:t>
      </w:r>
      <w:r w:rsidR="002F29DA">
        <w:t>9</w:t>
      </w:r>
      <w:r w:rsidR="000426BE">
        <w:t>1</w:t>
      </w:r>
      <w:r w:rsidR="00D169B5">
        <w:t>e</w:t>
      </w:r>
      <w:r>
        <w:tab/>
      </w:r>
      <w:r w:rsidR="00D46431">
        <w:tab/>
      </w:r>
      <w:r w:rsidR="002F29DA" w:rsidRPr="002F29DA">
        <w:t>RP-2</w:t>
      </w:r>
      <w:r w:rsidR="000426BE">
        <w:t>1</w:t>
      </w:r>
      <w:r w:rsidR="00CA4D79">
        <w:t>0452</w:t>
      </w:r>
    </w:p>
    <w:p w14:paraId="50DC9730" w14:textId="0EDC2E5C" w:rsidR="00D309CC" w:rsidRPr="00FD166F" w:rsidRDefault="00171224" w:rsidP="006A4F6A">
      <w:pPr>
        <w:pStyle w:val="CH"/>
        <w:tabs>
          <w:tab w:val="clear" w:pos="7920"/>
        </w:tabs>
        <w:jc w:val="both"/>
        <w:rPr>
          <w:b w:val="0"/>
        </w:rPr>
      </w:pPr>
      <w:r w:rsidRPr="00463DF8">
        <w:t xml:space="preserve">Electronic meeting, </w:t>
      </w:r>
      <w:r w:rsidR="000426BE" w:rsidRPr="000426BE">
        <w:t>March 16 - 26</w:t>
      </w:r>
      <w:r w:rsidRPr="000200DB">
        <w:t>, 202</w:t>
      </w:r>
      <w:r w:rsidR="000426BE">
        <w:t>1</w:t>
      </w:r>
      <w:r w:rsidR="00D46431">
        <w:tab/>
      </w:r>
    </w:p>
    <w:p w14:paraId="39A0EE25" w14:textId="5DA0EB2F" w:rsidR="00D309CC" w:rsidRDefault="00D309CC" w:rsidP="006A4F6A">
      <w:pPr>
        <w:tabs>
          <w:tab w:val="left" w:pos="2160"/>
        </w:tabs>
        <w:jc w:val="both"/>
        <w:rPr>
          <w:rFonts w:ascii="Arial" w:hAnsi="Arial" w:cs="Arial"/>
          <w:b/>
        </w:rPr>
      </w:pPr>
    </w:p>
    <w:p w14:paraId="6DDCE159" w14:textId="3869E2BF" w:rsidR="00D309CC" w:rsidRPr="0008103A" w:rsidRDefault="00D309CC" w:rsidP="006A4F6A">
      <w:pPr>
        <w:pStyle w:val="CH"/>
        <w:jc w:val="both"/>
        <w:rPr>
          <w:b w:val="0"/>
        </w:rPr>
      </w:pPr>
      <w:r w:rsidRPr="0008103A">
        <w:t>Agenda item:</w:t>
      </w:r>
      <w:r>
        <w:tab/>
      </w:r>
      <w:r w:rsidR="00D54762">
        <w:t>15</w:t>
      </w:r>
    </w:p>
    <w:p w14:paraId="4DBE005A" w14:textId="47EE3D1E" w:rsidR="00D309CC" w:rsidRPr="0008103A" w:rsidRDefault="00D309CC" w:rsidP="006A4F6A">
      <w:pPr>
        <w:pStyle w:val="CH"/>
        <w:jc w:val="both"/>
        <w:rPr>
          <w:b w:val="0"/>
        </w:rPr>
      </w:pPr>
      <w:r>
        <w:t>Source:</w:t>
      </w:r>
      <w:r>
        <w:tab/>
      </w:r>
      <w:r w:rsidR="000426BE">
        <w:t>Lenovo, Motorola Mobility</w:t>
      </w:r>
    </w:p>
    <w:p w14:paraId="0D2061A1" w14:textId="0F7B43B6" w:rsidR="00D309CC" w:rsidRDefault="00D309CC" w:rsidP="006A4F6A">
      <w:pPr>
        <w:pStyle w:val="CH"/>
        <w:ind w:left="2340" w:hanging="2340"/>
        <w:jc w:val="both"/>
      </w:pPr>
      <w:r w:rsidRPr="0008103A">
        <w:t>Title:</w:t>
      </w:r>
      <w:r w:rsidRPr="0008103A">
        <w:tab/>
      </w:r>
      <w:r w:rsidR="000426BE">
        <w:t xml:space="preserve">Proposals for </w:t>
      </w:r>
      <w:r w:rsidR="00DB59EA">
        <w:t xml:space="preserve">using </w:t>
      </w:r>
      <w:r w:rsidR="000426BE">
        <w:t xml:space="preserve">unlicensed </w:t>
      </w:r>
      <w:r w:rsidR="00DB59EA">
        <w:t xml:space="preserve">spectrum for </w:t>
      </w:r>
      <w:r w:rsidR="000426BE">
        <w:t>sidelink</w:t>
      </w:r>
      <w:r w:rsidR="00DB59EA">
        <w:t xml:space="preserve"> </w:t>
      </w:r>
      <w:r w:rsidR="000426BE">
        <w:t>communication</w:t>
      </w:r>
    </w:p>
    <w:p w14:paraId="2E4E044D" w14:textId="437E97D9" w:rsidR="00D309CC" w:rsidRDefault="00D309CC" w:rsidP="006A4F6A">
      <w:pPr>
        <w:pStyle w:val="CH"/>
        <w:jc w:val="both"/>
      </w:pPr>
      <w:r>
        <w:t>Document for:</w:t>
      </w:r>
      <w:r>
        <w:tab/>
        <w:t>Discussion</w:t>
      </w:r>
      <w:r w:rsidR="00182A7F">
        <w:t xml:space="preserve"> </w:t>
      </w:r>
    </w:p>
    <w:p w14:paraId="0207DB43" w14:textId="77777777" w:rsidR="00D46431" w:rsidRPr="0008103A" w:rsidRDefault="00D46431" w:rsidP="006A4F6A">
      <w:pPr>
        <w:pStyle w:val="CH"/>
        <w:jc w:val="both"/>
        <w:rPr>
          <w:b w:val="0"/>
        </w:rPr>
      </w:pPr>
    </w:p>
    <w:p w14:paraId="0273524A" w14:textId="77777777" w:rsidR="008E7986" w:rsidRPr="004D3578" w:rsidRDefault="008E7986" w:rsidP="006A4F6A">
      <w:pPr>
        <w:pStyle w:val="Heading1"/>
        <w:jc w:val="both"/>
      </w:pPr>
      <w:r>
        <w:t>1</w:t>
      </w:r>
      <w:r>
        <w:tab/>
      </w:r>
      <w:r w:rsidRPr="004D3578">
        <w:t>Introduction</w:t>
      </w:r>
      <w:r>
        <w:t xml:space="preserve"> </w:t>
      </w:r>
    </w:p>
    <w:p w14:paraId="06E92CC7" w14:textId="1894C1EF" w:rsidR="008E7986" w:rsidRDefault="000119B4" w:rsidP="006A4F6A">
      <w:pPr>
        <w:jc w:val="both"/>
      </w:pPr>
      <w:r>
        <w:t xml:space="preserve">In this discussion paper we </w:t>
      </w:r>
      <w:r w:rsidR="00DB59EA">
        <w:t>focus on the motivation and objectives of using unlicensed spectrum for sidelink communication</w:t>
      </w:r>
      <w:r w:rsidR="00616A35">
        <w:t xml:space="preserve"> and present our views on this item</w:t>
      </w:r>
      <w:r>
        <w:t xml:space="preserve">. </w:t>
      </w:r>
    </w:p>
    <w:p w14:paraId="3A67921B" w14:textId="36333411" w:rsidR="008E7986" w:rsidRDefault="008E7986" w:rsidP="006A4F6A">
      <w:pPr>
        <w:pStyle w:val="Heading1"/>
        <w:jc w:val="both"/>
      </w:pPr>
      <w:r>
        <w:t>2</w:t>
      </w:r>
      <w:r>
        <w:tab/>
      </w:r>
      <w:r w:rsidR="000426BE">
        <w:t>Motivation</w:t>
      </w:r>
      <w:r>
        <w:t xml:space="preserve"> </w:t>
      </w:r>
    </w:p>
    <w:p w14:paraId="1E3F08E2" w14:textId="2BE6FCD3" w:rsidR="00FF63EF" w:rsidRDefault="008A29F9" w:rsidP="006A4F6A">
      <w:pPr>
        <w:jc w:val="both"/>
        <w:rPr>
          <w:lang w:val="en-US"/>
        </w:rPr>
      </w:pPr>
      <w:r>
        <w:rPr>
          <w:lang w:val="en-US"/>
        </w:rPr>
        <w:t xml:space="preserve">Plenty of </w:t>
      </w:r>
      <w:r w:rsidR="00FF63EF" w:rsidRPr="00F964E8">
        <w:rPr>
          <w:lang w:val="en-US"/>
        </w:rPr>
        <w:t xml:space="preserve">use cases for </w:t>
      </w:r>
      <w:proofErr w:type="spellStart"/>
      <w:r w:rsidR="00FF63EF">
        <w:rPr>
          <w:lang w:val="en-US"/>
        </w:rPr>
        <w:t>sidelink</w:t>
      </w:r>
      <w:proofErr w:type="spellEnd"/>
      <w:r w:rsidR="00FF63EF">
        <w:rPr>
          <w:lang w:val="en-US"/>
        </w:rPr>
        <w:t xml:space="preserve"> communication</w:t>
      </w:r>
      <w:r w:rsidR="00FF63EF" w:rsidRPr="00F964E8">
        <w:rPr>
          <w:lang w:val="en-US"/>
        </w:rPr>
        <w:t xml:space="preserve">, e.g., </w:t>
      </w:r>
      <w:r w:rsidR="00FF63EF">
        <w:rPr>
          <w:lang w:val="en-US"/>
        </w:rPr>
        <w:t>V2X</w:t>
      </w:r>
      <w:r w:rsidR="00192D1D">
        <w:rPr>
          <w:lang w:val="en-US"/>
        </w:rPr>
        <w:t xml:space="preserve"> </w:t>
      </w:r>
      <w:r w:rsidR="00FF63EF">
        <w:rPr>
          <w:lang w:val="en-US"/>
        </w:rPr>
        <w:t>(e.g., vehicle, road side unit, pedestrian)</w:t>
      </w:r>
      <w:r w:rsidR="00FF63EF" w:rsidRPr="00F964E8">
        <w:rPr>
          <w:lang w:val="en-US"/>
        </w:rPr>
        <w:t xml:space="preserve">, </w:t>
      </w:r>
      <w:r w:rsidR="00FF63EF">
        <w:rPr>
          <w:lang w:val="en-US"/>
        </w:rPr>
        <w:t>AR/VR</w:t>
      </w:r>
      <w:r w:rsidR="00FF63EF" w:rsidRPr="00F964E8">
        <w:rPr>
          <w:lang w:val="en-US"/>
        </w:rPr>
        <w:t xml:space="preserve"> (e.g., </w:t>
      </w:r>
      <w:r w:rsidR="00FF63EF">
        <w:rPr>
          <w:lang w:val="en-US"/>
        </w:rPr>
        <w:t>head-mounted display, immersive gaming</w:t>
      </w:r>
      <w:r w:rsidR="00FF63EF" w:rsidRPr="00F964E8">
        <w:rPr>
          <w:lang w:val="en-US"/>
        </w:rPr>
        <w:t xml:space="preserve">), smart home (e.g., smart camera, smart lock, </w:t>
      </w:r>
      <w:r w:rsidR="00FF63EF">
        <w:rPr>
          <w:lang w:val="en-US"/>
        </w:rPr>
        <w:t xml:space="preserve">intelligent </w:t>
      </w:r>
      <w:r w:rsidR="00FF63EF" w:rsidRPr="00F964E8">
        <w:rPr>
          <w:lang w:val="en-US"/>
        </w:rPr>
        <w:t xml:space="preserve">speaker), </w:t>
      </w:r>
      <w:r w:rsidR="00FF63EF">
        <w:rPr>
          <w:lang w:val="en-US"/>
        </w:rPr>
        <w:t xml:space="preserve">and </w:t>
      </w:r>
      <w:r w:rsidR="00192D1D">
        <w:rPr>
          <w:lang w:val="en-US"/>
        </w:rPr>
        <w:t xml:space="preserve">the application of </w:t>
      </w:r>
      <w:r w:rsidR="00FF63EF">
        <w:rPr>
          <w:lang w:val="en-US"/>
        </w:rPr>
        <w:t xml:space="preserve">connecting the </w:t>
      </w:r>
      <w:r w:rsidR="00FF63EF" w:rsidRPr="00F964E8">
        <w:rPr>
          <w:lang w:val="en-US"/>
        </w:rPr>
        <w:t>low power wearable devices (e.g., smart watch, smart glasses)</w:t>
      </w:r>
      <w:r w:rsidR="00FF63EF">
        <w:rPr>
          <w:lang w:val="en-US"/>
        </w:rPr>
        <w:t xml:space="preserve"> to the network via a smart phone</w:t>
      </w:r>
      <w:r>
        <w:rPr>
          <w:lang w:val="en-US"/>
        </w:rPr>
        <w:t xml:space="preserve"> is emerging</w:t>
      </w:r>
      <w:r w:rsidR="00FF63EF" w:rsidRPr="00F964E8">
        <w:rPr>
          <w:lang w:val="en-US"/>
        </w:rPr>
        <w:t xml:space="preserve">, </w:t>
      </w:r>
      <w:r w:rsidR="00FF63EF">
        <w:rPr>
          <w:lang w:val="en-US"/>
        </w:rPr>
        <w:t xml:space="preserve">the requirements for the above use cases are quite diverse. </w:t>
      </w:r>
      <w:r>
        <w:rPr>
          <w:lang w:val="en-US"/>
        </w:rPr>
        <w:t>e</w:t>
      </w:r>
      <w:r w:rsidR="00FF63EF">
        <w:rPr>
          <w:lang w:val="en-US"/>
        </w:rPr>
        <w:t xml:space="preserve">.g., </w:t>
      </w:r>
      <w:r w:rsidR="00FF63EF" w:rsidRPr="00F964E8">
        <w:rPr>
          <w:lang w:val="en-US"/>
        </w:rPr>
        <w:t xml:space="preserve">the required data rate can be ranged from several Mbps </w:t>
      </w:r>
      <w:r w:rsidR="00FF63EF">
        <w:rPr>
          <w:lang w:val="en-US"/>
        </w:rPr>
        <w:t>(e.g., for</w:t>
      </w:r>
      <w:r w:rsidR="00FF63EF" w:rsidRPr="00F964E8">
        <w:rPr>
          <w:lang w:val="en-US"/>
        </w:rPr>
        <w:t xml:space="preserve"> </w:t>
      </w:r>
      <w:proofErr w:type="spellStart"/>
      <w:r w:rsidR="00FF63EF">
        <w:rPr>
          <w:lang w:val="en-US"/>
        </w:rPr>
        <w:t>sidelink</w:t>
      </w:r>
      <w:proofErr w:type="spellEnd"/>
      <w:r w:rsidR="00FF63EF">
        <w:rPr>
          <w:lang w:val="en-US"/>
        </w:rPr>
        <w:t xml:space="preserve"> communication between the wearable devices to the smart phone) </w:t>
      </w:r>
      <w:r w:rsidR="00FF63EF" w:rsidRPr="00F964E8">
        <w:rPr>
          <w:lang w:val="en-US"/>
        </w:rPr>
        <w:t xml:space="preserve">to </w:t>
      </w:r>
      <w:r w:rsidR="00FF63EF">
        <w:rPr>
          <w:lang w:val="en-US"/>
        </w:rPr>
        <w:t>G</w:t>
      </w:r>
      <w:r w:rsidR="00FF63EF" w:rsidRPr="00F964E8">
        <w:rPr>
          <w:lang w:val="en-US"/>
        </w:rPr>
        <w:t>bps</w:t>
      </w:r>
      <w:r w:rsidR="00FF63EF">
        <w:rPr>
          <w:lang w:val="en-US"/>
        </w:rPr>
        <w:t xml:space="preserve"> (e.g., for AR/VR applications, </w:t>
      </w:r>
      <w:r w:rsidR="00192D1D">
        <w:rPr>
          <w:lang w:val="en-US"/>
        </w:rPr>
        <w:t xml:space="preserve">or </w:t>
      </w:r>
      <w:r w:rsidR="00FF63EF">
        <w:rPr>
          <w:lang w:val="en-US"/>
        </w:rPr>
        <w:t xml:space="preserve">for the extended sensors for vehicle to vehicle to </w:t>
      </w:r>
      <w:r w:rsidR="00FF63EF">
        <w:t>exchange the raw or processed data gathered through local sensors or live video images among vehicles, road site units, and V2X application servers)</w:t>
      </w:r>
      <w:r w:rsidR="00FF63EF" w:rsidRPr="00F964E8">
        <w:rPr>
          <w:lang w:val="en-US"/>
        </w:rPr>
        <w:t>,</w:t>
      </w:r>
      <w:r w:rsidR="00FF63EF">
        <w:rPr>
          <w:lang w:val="en-US"/>
        </w:rPr>
        <w:t xml:space="preserve"> </w:t>
      </w:r>
      <w:r w:rsidR="00192D1D">
        <w:rPr>
          <w:lang w:val="en-US"/>
        </w:rPr>
        <w:t xml:space="preserve">and </w:t>
      </w:r>
      <w:r w:rsidR="00FF63EF" w:rsidRPr="00F964E8">
        <w:rPr>
          <w:lang w:val="en-US"/>
        </w:rPr>
        <w:t xml:space="preserve">the required latency can be varied from </w:t>
      </w:r>
      <w:r w:rsidR="00FF63EF">
        <w:rPr>
          <w:lang w:val="en-US"/>
        </w:rPr>
        <w:t>tens of</w:t>
      </w:r>
      <w:r w:rsidR="00FF63EF" w:rsidRPr="00F964E8">
        <w:rPr>
          <w:lang w:val="en-US"/>
        </w:rPr>
        <w:t xml:space="preserve"> mi</w:t>
      </w:r>
      <w:r w:rsidR="00FF63EF">
        <w:rPr>
          <w:lang w:val="en-US"/>
        </w:rPr>
        <w:t>cro</w:t>
      </w:r>
      <w:r w:rsidR="00FF63EF" w:rsidRPr="00F964E8">
        <w:rPr>
          <w:lang w:val="en-US"/>
        </w:rPr>
        <w:t xml:space="preserve">seconds </w:t>
      </w:r>
      <w:r w:rsidR="00FF63EF">
        <w:rPr>
          <w:lang w:val="en-US"/>
        </w:rPr>
        <w:t>(e.g., for AR/VR and V2X</w:t>
      </w:r>
      <w:r w:rsidR="00192D1D">
        <w:rPr>
          <w:lang w:val="en-US"/>
        </w:rPr>
        <w:t xml:space="preserve"> applications</w:t>
      </w:r>
      <w:r w:rsidR="00FF63EF">
        <w:rPr>
          <w:lang w:val="en-US"/>
        </w:rPr>
        <w:t xml:space="preserve">) </w:t>
      </w:r>
      <w:r w:rsidR="00FF63EF" w:rsidRPr="00F964E8">
        <w:rPr>
          <w:lang w:val="en-US"/>
        </w:rPr>
        <w:t>to tens of milliseconds</w:t>
      </w:r>
      <w:r w:rsidR="00FF63EF">
        <w:rPr>
          <w:lang w:val="en-US"/>
        </w:rPr>
        <w:t xml:space="preserve"> (e.g., for smart home and wearable devices)</w:t>
      </w:r>
      <w:r w:rsidR="00FF63EF" w:rsidRPr="00F964E8">
        <w:rPr>
          <w:lang w:val="en-US"/>
        </w:rPr>
        <w:t xml:space="preserve">. </w:t>
      </w:r>
      <w:r w:rsidR="00192D1D">
        <w:rPr>
          <w:lang w:val="en-US"/>
        </w:rPr>
        <w:t>I</w:t>
      </w:r>
      <w:r w:rsidR="00FF63EF" w:rsidRPr="00F964E8">
        <w:rPr>
          <w:lang w:val="en-US"/>
        </w:rPr>
        <w:t xml:space="preserve">t </w:t>
      </w:r>
      <w:r w:rsidR="00FF63EF">
        <w:rPr>
          <w:lang w:val="en-US"/>
        </w:rPr>
        <w:t xml:space="preserve">is not sufficient </w:t>
      </w:r>
      <w:r w:rsidR="00FF63EF" w:rsidRPr="00F964E8">
        <w:rPr>
          <w:lang w:val="en-US"/>
        </w:rPr>
        <w:t xml:space="preserve">to use </w:t>
      </w:r>
      <w:r w:rsidR="00FF63EF">
        <w:rPr>
          <w:lang w:val="en-US"/>
        </w:rPr>
        <w:t xml:space="preserve">the limited licensed spectrum for </w:t>
      </w:r>
      <w:proofErr w:type="spellStart"/>
      <w:r w:rsidR="00FF63EF">
        <w:rPr>
          <w:lang w:val="en-US"/>
        </w:rPr>
        <w:t>sidelink</w:t>
      </w:r>
      <w:proofErr w:type="spellEnd"/>
      <w:r w:rsidR="00FF63EF">
        <w:rPr>
          <w:lang w:val="en-US"/>
        </w:rPr>
        <w:t xml:space="preserve"> communication to satisfy the stringent requirements especially when there are many devices/vehicles in the serving area</w:t>
      </w:r>
      <w:r w:rsidR="00FF63EF" w:rsidRPr="00F964E8">
        <w:rPr>
          <w:lang w:val="en-US"/>
        </w:rPr>
        <w:t xml:space="preserve">. </w:t>
      </w:r>
    </w:p>
    <w:p w14:paraId="4ACD90F3" w14:textId="7213FB7A" w:rsidR="00192D1D" w:rsidRPr="009C54C8" w:rsidRDefault="00192D1D" w:rsidP="006A4F6A">
      <w:pPr>
        <w:jc w:val="both"/>
        <w:rPr>
          <w:lang w:val="en-US"/>
        </w:rPr>
      </w:pPr>
      <w:r>
        <w:rPr>
          <w:lang w:val="en-US"/>
        </w:rPr>
        <w:t>U</w:t>
      </w:r>
      <w:r w:rsidRPr="00F964E8">
        <w:rPr>
          <w:lang w:val="en-US"/>
        </w:rPr>
        <w:t xml:space="preserve">nlicensed spectrum is more and more important for </w:t>
      </w:r>
      <w:r>
        <w:rPr>
          <w:lang w:val="en-US"/>
        </w:rPr>
        <w:t>hot spot scenarios</w:t>
      </w:r>
      <w:r w:rsidRPr="00F964E8">
        <w:rPr>
          <w:lang w:val="en-US"/>
        </w:rPr>
        <w:t xml:space="preserve">, e.g., using unlicensed spectrum to provide communications among the sensors in large factories or appliances at home can </w:t>
      </w:r>
      <w:r>
        <w:rPr>
          <w:lang w:val="en-US"/>
        </w:rPr>
        <w:t xml:space="preserve">not only improve the data rate via using the wide unlicensed spectrum but also </w:t>
      </w:r>
      <w:r w:rsidRPr="00F964E8">
        <w:rPr>
          <w:lang w:val="en-US"/>
        </w:rPr>
        <w:t xml:space="preserve">offload the traffic from licensed spectrum and reduce the operation cost. </w:t>
      </w:r>
      <w:r w:rsidR="00F71718">
        <w:rPr>
          <w:lang w:val="en-US"/>
        </w:rPr>
        <w:t>For</w:t>
      </w:r>
      <w:r w:rsidRPr="00F964E8">
        <w:rPr>
          <w:lang w:val="en-US"/>
        </w:rPr>
        <w:t xml:space="preserve"> Rel-16 NR-based access on unlicensed spectrum (NR-U), </w:t>
      </w:r>
      <w:r>
        <w:rPr>
          <w:lang w:val="en-US"/>
        </w:rPr>
        <w:t xml:space="preserve">the unlicensed spectrums </w:t>
      </w:r>
      <w:r w:rsidRPr="009C54C8">
        <w:rPr>
          <w:lang w:val="en-US"/>
        </w:rPr>
        <w:t xml:space="preserve">of </w:t>
      </w:r>
      <w:r w:rsidR="008A29F9">
        <w:rPr>
          <w:lang w:val="en-US"/>
        </w:rPr>
        <w:t xml:space="preserve">the </w:t>
      </w:r>
      <w:r w:rsidRPr="009C54C8">
        <w:rPr>
          <w:lang w:val="en-US"/>
        </w:rPr>
        <w:t xml:space="preserve">highest interest for specification </w:t>
      </w:r>
      <w:r>
        <w:rPr>
          <w:lang w:val="en-US"/>
        </w:rPr>
        <w:t>include the</w:t>
      </w:r>
      <w:r w:rsidRPr="009C54C8">
        <w:rPr>
          <w:lang w:val="en-US"/>
        </w:rPr>
        <w:t xml:space="preserve"> 5GHz unlicensed band and the 6GHz band for unlicensed use (e.g., US 5925 – 7125 MHz, or European 5925 – 6425 MHz, or parts thereof)</w:t>
      </w:r>
      <w:r w:rsidR="00F71718">
        <w:rPr>
          <w:lang w:val="en-US"/>
        </w:rPr>
        <w:t>, which can provide several hundreds of MHz bandwidth or even about 1GHz bandwidth</w:t>
      </w:r>
      <w:r w:rsidRPr="009C54C8">
        <w:rPr>
          <w:lang w:val="en-US"/>
        </w:rPr>
        <w:t xml:space="preserve">. </w:t>
      </w:r>
    </w:p>
    <w:p w14:paraId="013CC17F" w14:textId="04C78F92" w:rsidR="00192D1D" w:rsidRDefault="00192D1D" w:rsidP="006A4F6A">
      <w:pPr>
        <w:jc w:val="both"/>
        <w:rPr>
          <w:lang w:val="en-US"/>
        </w:rPr>
      </w:pPr>
      <w:r w:rsidRPr="00F964E8">
        <w:rPr>
          <w:lang w:val="en-US"/>
        </w:rPr>
        <w:t xml:space="preserve">Based on the </w:t>
      </w:r>
      <w:r>
        <w:rPr>
          <w:lang w:val="en-US"/>
        </w:rPr>
        <w:t>standardization outcome</w:t>
      </w:r>
      <w:r w:rsidRPr="00F964E8">
        <w:rPr>
          <w:lang w:val="en-US"/>
        </w:rPr>
        <w:t xml:space="preserve"> of Rel-16 NR-U, </w:t>
      </w:r>
      <w:r>
        <w:rPr>
          <w:lang w:val="en-US"/>
        </w:rPr>
        <w:t xml:space="preserve">3GPP has </w:t>
      </w:r>
      <w:r w:rsidRPr="00F964E8">
        <w:rPr>
          <w:lang w:val="en-US"/>
        </w:rPr>
        <w:t xml:space="preserve">already </w:t>
      </w:r>
      <w:r>
        <w:rPr>
          <w:lang w:val="en-US"/>
        </w:rPr>
        <w:t xml:space="preserve">agreed to </w:t>
      </w:r>
      <w:r w:rsidRPr="00F964E8">
        <w:rPr>
          <w:lang w:val="en-US"/>
        </w:rPr>
        <w:t>extend</w:t>
      </w:r>
      <w:r>
        <w:rPr>
          <w:lang w:val="en-US"/>
        </w:rPr>
        <w:t xml:space="preserve"> the</w:t>
      </w:r>
      <w:r w:rsidRPr="00F964E8">
        <w:rPr>
          <w:lang w:val="en-US"/>
        </w:rPr>
        <w:t xml:space="preserve"> designed NR-U </w:t>
      </w:r>
      <w:r>
        <w:rPr>
          <w:lang w:val="en-US"/>
        </w:rPr>
        <w:t>technologies</w:t>
      </w:r>
      <w:r w:rsidRPr="00F964E8">
        <w:rPr>
          <w:lang w:val="en-US"/>
        </w:rPr>
        <w:t xml:space="preserve"> to </w:t>
      </w:r>
      <w:r>
        <w:rPr>
          <w:lang w:val="en-US"/>
        </w:rPr>
        <w:t>other scenarios, e.g., using unlicensed spectrum for URLLC in controlled environments in Rel-17</w:t>
      </w:r>
      <w:r w:rsidRPr="00F964E8">
        <w:rPr>
          <w:lang w:val="en-US"/>
        </w:rPr>
        <w:t xml:space="preserve">. </w:t>
      </w:r>
      <w:r>
        <w:rPr>
          <w:lang w:val="en-US"/>
        </w:rPr>
        <w:t xml:space="preserve">In detail, RAN1 shall specify the support </w:t>
      </w:r>
      <w:r w:rsidRPr="00D510DF">
        <w:rPr>
          <w:lang w:val="en-US"/>
        </w:rPr>
        <w:t>for UE-initiated COT for FBE</w:t>
      </w:r>
      <w:r w:rsidRPr="00F964E8">
        <w:rPr>
          <w:lang w:val="en-US"/>
        </w:rPr>
        <w:t xml:space="preserve"> </w:t>
      </w:r>
      <w:r>
        <w:rPr>
          <w:lang w:val="en-US"/>
        </w:rPr>
        <w:t xml:space="preserve">and tailor the UL </w:t>
      </w:r>
      <w:r w:rsidRPr="00D510DF">
        <w:rPr>
          <w:lang w:val="en-US"/>
        </w:rPr>
        <w:t xml:space="preserve">configured-grant enhancements in NR-U </w:t>
      </w:r>
      <w:r>
        <w:rPr>
          <w:lang w:val="en-US"/>
        </w:rPr>
        <w:t xml:space="preserve">for URLLC scenario. It is necessary to further extend the designed NR-U technologies to </w:t>
      </w:r>
      <w:proofErr w:type="spellStart"/>
      <w:r>
        <w:rPr>
          <w:lang w:val="en-US"/>
        </w:rPr>
        <w:t>sidelink</w:t>
      </w:r>
      <w:proofErr w:type="spellEnd"/>
      <w:r>
        <w:rPr>
          <w:lang w:val="en-US"/>
        </w:rPr>
        <w:t xml:space="preserve"> communication. </w:t>
      </w:r>
    </w:p>
    <w:p w14:paraId="37B91BCF" w14:textId="368A7C44" w:rsidR="00F71718" w:rsidRDefault="00F71718" w:rsidP="006A4F6A">
      <w:pPr>
        <w:jc w:val="both"/>
        <w:rPr>
          <w:lang w:val="en-US"/>
        </w:rPr>
      </w:pPr>
      <w:r>
        <w:rPr>
          <w:lang w:val="en-US"/>
        </w:rPr>
        <w:t>U</w:t>
      </w:r>
      <w:r w:rsidR="00192D1D" w:rsidRPr="00F964E8">
        <w:rPr>
          <w:lang w:val="en-US"/>
        </w:rPr>
        <w:t xml:space="preserve">sing unlicensed spectrum </w:t>
      </w:r>
      <w:r>
        <w:rPr>
          <w:lang w:val="en-US"/>
        </w:rPr>
        <w:t xml:space="preserve">for </w:t>
      </w:r>
      <w:proofErr w:type="spellStart"/>
      <w:r>
        <w:rPr>
          <w:lang w:val="en-US"/>
        </w:rPr>
        <w:t>sidelink</w:t>
      </w:r>
      <w:proofErr w:type="spellEnd"/>
      <w:r>
        <w:rPr>
          <w:lang w:val="en-US"/>
        </w:rPr>
        <w:t xml:space="preserve"> communication</w:t>
      </w:r>
      <w:r w:rsidR="00192D1D" w:rsidRPr="00F964E8">
        <w:rPr>
          <w:lang w:val="en-US"/>
        </w:rPr>
        <w:t xml:space="preserve"> </w:t>
      </w:r>
      <w:proofErr w:type="spellStart"/>
      <w:r w:rsidR="00192D1D" w:rsidRPr="00F964E8">
        <w:rPr>
          <w:lang w:val="en-US"/>
        </w:rPr>
        <w:t xml:space="preserve">can </w:t>
      </w:r>
      <w:r w:rsidR="00192D1D">
        <w:rPr>
          <w:lang w:val="en-US"/>
        </w:rPr>
        <w:t>not</w:t>
      </w:r>
      <w:proofErr w:type="spellEnd"/>
      <w:r w:rsidR="00192D1D">
        <w:rPr>
          <w:lang w:val="en-US"/>
        </w:rPr>
        <w:t xml:space="preserve"> only improve the data rate via using the wide unlicensed spectrum and reduce the latency via device-to-device direct communication but also </w:t>
      </w:r>
      <w:r w:rsidR="00192D1D" w:rsidRPr="00F964E8">
        <w:rPr>
          <w:lang w:val="en-US"/>
        </w:rPr>
        <w:t xml:space="preserve">offload the traffic from licensed spectrum and reduce the operation cost. </w:t>
      </w:r>
      <w:r>
        <w:rPr>
          <w:lang w:val="en-US"/>
        </w:rPr>
        <w:t xml:space="preserve">In addition, the network coverage can be further extended by means of using UE-to-network relay over unlicensed spectrum. In case of higher data rate required for AR/VR application, the unlicensed spectrum over 60GHz </w:t>
      </w:r>
      <w:r w:rsidR="00B52F3D" w:rsidRPr="009C54C8">
        <w:rPr>
          <w:lang w:val="en-US"/>
        </w:rPr>
        <w:t xml:space="preserve">(e.g., </w:t>
      </w:r>
      <w:r w:rsidR="00B52F3D" w:rsidRPr="00B52F3D">
        <w:rPr>
          <w:lang w:val="en-US"/>
        </w:rPr>
        <w:t>US 57GHz – 71GHz</w:t>
      </w:r>
      <w:r w:rsidR="00B52F3D">
        <w:rPr>
          <w:lang w:val="en-US"/>
        </w:rPr>
        <w:t xml:space="preserve">, or </w:t>
      </w:r>
      <w:r w:rsidR="00B52F3D" w:rsidRPr="009C54C8">
        <w:rPr>
          <w:lang w:val="en-US"/>
        </w:rPr>
        <w:t>European</w:t>
      </w:r>
      <w:r w:rsidR="00B52F3D" w:rsidRPr="00B52F3D">
        <w:rPr>
          <w:lang w:val="en-US"/>
        </w:rPr>
        <w:t xml:space="preserve"> 57GHz – 66GHz</w:t>
      </w:r>
      <w:r w:rsidR="00B52F3D" w:rsidRPr="009C54C8">
        <w:rPr>
          <w:lang w:val="en-US"/>
        </w:rPr>
        <w:t xml:space="preserve">, </w:t>
      </w:r>
      <w:r w:rsidR="00B52F3D">
        <w:rPr>
          <w:lang w:val="en-US"/>
        </w:rPr>
        <w:t xml:space="preserve">or </w:t>
      </w:r>
      <w:r w:rsidR="00B52F3D" w:rsidRPr="009C54C8">
        <w:rPr>
          <w:lang w:val="en-US"/>
        </w:rPr>
        <w:t>parts thereof)</w:t>
      </w:r>
      <w:r w:rsidR="00B52F3D">
        <w:rPr>
          <w:lang w:val="en-US"/>
        </w:rPr>
        <w:t xml:space="preserve"> </w:t>
      </w:r>
      <w:r>
        <w:rPr>
          <w:lang w:val="en-US"/>
        </w:rPr>
        <w:t xml:space="preserve">can be also used which provides several GHz bandwidths. </w:t>
      </w:r>
    </w:p>
    <w:p w14:paraId="0B7364B8" w14:textId="378A47B0" w:rsidR="00192D1D" w:rsidRDefault="00192D1D" w:rsidP="006A4F6A">
      <w:pPr>
        <w:jc w:val="both"/>
        <w:rPr>
          <w:lang w:val="en-US"/>
        </w:rPr>
      </w:pPr>
      <w:r w:rsidRPr="009C54C8">
        <w:rPr>
          <w:lang w:val="en-US"/>
        </w:rPr>
        <w:t xml:space="preserve">For IMT systems, </w:t>
      </w:r>
      <w:r w:rsidR="00F71718">
        <w:rPr>
          <w:lang w:val="en-US"/>
        </w:rPr>
        <w:t>the licensed spectrum</w:t>
      </w:r>
      <w:r w:rsidRPr="009C54C8">
        <w:rPr>
          <w:lang w:val="en-US"/>
        </w:rPr>
        <w:t xml:space="preserve"> will remain fundamentally critical for providing seamless coverage, achieving the highest spectral efficiency, and ensuring the highest reliability of cellular networks. All of these cannot be achieved by unlicensed spectrum.</w:t>
      </w:r>
      <w:r w:rsidR="00F71718">
        <w:rPr>
          <w:lang w:val="en-US"/>
        </w:rPr>
        <w:t xml:space="preserve"> </w:t>
      </w:r>
      <w:r w:rsidRPr="009C54C8">
        <w:rPr>
          <w:lang w:val="en-US"/>
        </w:rPr>
        <w:t xml:space="preserve">At the same time, operations and applications relying on unlicensed spectrum as a complementary source of spectrum, via licensed spectrum assistance, or purely based on unlicensed spectrum, without associated licensed spectrum, are increasingly important to improve data connectivity for the use cases and applications </w:t>
      </w:r>
      <w:r w:rsidR="00B52F3D">
        <w:rPr>
          <w:lang w:val="en-US"/>
        </w:rPr>
        <w:t xml:space="preserve">of </w:t>
      </w:r>
      <w:proofErr w:type="spellStart"/>
      <w:r w:rsidR="00B52F3D">
        <w:rPr>
          <w:lang w:val="en-US"/>
        </w:rPr>
        <w:t>sidelink</w:t>
      </w:r>
      <w:proofErr w:type="spellEnd"/>
      <w:r w:rsidR="00B52F3D">
        <w:rPr>
          <w:lang w:val="en-US"/>
        </w:rPr>
        <w:t xml:space="preserve"> communications</w:t>
      </w:r>
      <w:r w:rsidRPr="009C54C8">
        <w:rPr>
          <w:lang w:val="en-US"/>
        </w:rPr>
        <w:t xml:space="preserve">. </w:t>
      </w:r>
    </w:p>
    <w:p w14:paraId="59450D73" w14:textId="27F96103" w:rsidR="00237384" w:rsidRPr="00237384" w:rsidRDefault="00716DB3" w:rsidP="006A4F6A">
      <w:pPr>
        <w:tabs>
          <w:tab w:val="num" w:pos="720"/>
        </w:tabs>
        <w:jc w:val="both"/>
        <w:rPr>
          <w:lang w:val="en-US"/>
        </w:rPr>
      </w:pPr>
      <w:r w:rsidRPr="00F964E8">
        <w:rPr>
          <w:lang w:val="en-US"/>
        </w:rPr>
        <w:t xml:space="preserve">As a result, it </w:t>
      </w:r>
      <w:r w:rsidR="00237384" w:rsidRPr="00237384">
        <w:rPr>
          <w:rFonts w:eastAsia="Times New Roman"/>
          <w:lang w:val="en-US"/>
        </w:rPr>
        <w:t xml:space="preserve">is straightforward to introduce existing technologies over unlicensed spectrum to </w:t>
      </w:r>
      <w:proofErr w:type="spellStart"/>
      <w:r w:rsidR="00237384" w:rsidRPr="00237384">
        <w:rPr>
          <w:rFonts w:eastAsia="Times New Roman"/>
          <w:lang w:val="en-US"/>
        </w:rPr>
        <w:t>sidelink</w:t>
      </w:r>
      <w:proofErr w:type="spellEnd"/>
      <w:r w:rsidR="00237384" w:rsidRPr="00237384">
        <w:rPr>
          <w:rFonts w:eastAsia="Times New Roman"/>
          <w:lang w:val="en-US"/>
        </w:rPr>
        <w:t xml:space="preserve"> communication so that not only very wide spectrum over 6GHz and 60GHz can be used to greatly increase </w:t>
      </w:r>
      <w:proofErr w:type="spellStart"/>
      <w:r w:rsidR="00237384" w:rsidRPr="00237384">
        <w:rPr>
          <w:rFonts w:eastAsia="Times New Roman"/>
          <w:lang w:val="en-US"/>
        </w:rPr>
        <w:t>sidelink</w:t>
      </w:r>
      <w:proofErr w:type="spellEnd"/>
      <w:r w:rsidR="00237384" w:rsidRPr="00237384">
        <w:rPr>
          <w:rFonts w:eastAsia="Times New Roman"/>
          <w:lang w:val="en-US"/>
        </w:rPr>
        <w:t xml:space="preserve"> data rate, the network </w:t>
      </w:r>
      <w:r w:rsidR="00237384" w:rsidRPr="00237384">
        <w:rPr>
          <w:rFonts w:eastAsia="Times New Roman"/>
          <w:lang w:val="en-US"/>
        </w:rPr>
        <w:lastRenderedPageBreak/>
        <w:t>can offload heavy traffic identified in new use cases to unlicensed spectrum, but also the vertical business can apparently reduce the CAPEX/OPEX.</w:t>
      </w:r>
    </w:p>
    <w:p w14:paraId="6F62873B" w14:textId="30CB87DF" w:rsidR="001F33D4" w:rsidRDefault="001F33D4" w:rsidP="006A4F6A">
      <w:pPr>
        <w:jc w:val="both"/>
        <w:rPr>
          <w:lang w:val="en-US"/>
        </w:rPr>
      </w:pPr>
      <w:r w:rsidRPr="00F964E8">
        <w:rPr>
          <w:lang w:val="en-US"/>
        </w:rPr>
        <w:t>The study work is more focused on sub-7G unlicensed spectrum (e.g., 5GHz, 6GHz)</w:t>
      </w:r>
      <w:r w:rsidR="00B52F3D">
        <w:rPr>
          <w:lang w:val="en-US"/>
        </w:rPr>
        <w:t xml:space="preserve"> in the first phase and 60GHz unlicensed spectrum can be considered in the second phase</w:t>
      </w:r>
      <w:r w:rsidRPr="00F964E8">
        <w:rPr>
          <w:lang w:val="en-US"/>
        </w:rPr>
        <w:t xml:space="preserve">. </w:t>
      </w:r>
    </w:p>
    <w:p w14:paraId="01D738A3" w14:textId="0B4EF6E6" w:rsidR="001F33D4" w:rsidRPr="00F964E8" w:rsidRDefault="001F33D4" w:rsidP="006A4F6A">
      <w:pPr>
        <w:jc w:val="both"/>
        <w:rPr>
          <w:lang w:val="en-US"/>
        </w:rPr>
      </w:pPr>
      <w:r w:rsidRPr="00F964E8">
        <w:rPr>
          <w:lang w:val="en-US"/>
        </w:rPr>
        <w:t>It is noted that regulation requirements on unlicensed spectrum and fair coexistence between cellular operations and other wireless technologies on same unlicensed spectrum should be guaranteed, e.g., by Listen-Before-Talk (LBT) mechanism.</w:t>
      </w:r>
    </w:p>
    <w:p w14:paraId="3896F415" w14:textId="3930246C" w:rsidR="000426BE" w:rsidRDefault="000426BE" w:rsidP="006A4F6A">
      <w:pPr>
        <w:pStyle w:val="Heading1"/>
        <w:jc w:val="both"/>
      </w:pPr>
      <w:r>
        <w:t>3</w:t>
      </w:r>
      <w:r>
        <w:tab/>
        <w:t>Objectives</w:t>
      </w:r>
    </w:p>
    <w:p w14:paraId="5F1CA644" w14:textId="2A1BB4A6" w:rsidR="00237384" w:rsidRDefault="00237384" w:rsidP="006A4F6A">
      <w:pPr>
        <w:jc w:val="both"/>
        <w:rPr>
          <w:lang w:val="en-US"/>
        </w:rPr>
      </w:pPr>
      <w:r w:rsidRPr="00716DB3">
        <w:rPr>
          <w:lang w:val="en-US"/>
        </w:rPr>
        <w:t xml:space="preserve">The objective </w:t>
      </w:r>
      <w:r w:rsidRPr="00716DB3">
        <w:rPr>
          <w:rFonts w:eastAsia="Times New Roman" w:hint="eastAsia"/>
          <w:lang w:val="en-US"/>
        </w:rPr>
        <w:t xml:space="preserve">is </w:t>
      </w:r>
      <w:r w:rsidRPr="00716DB3">
        <w:rPr>
          <w:lang w:val="en-US"/>
        </w:rPr>
        <w:t>to</w:t>
      </w:r>
      <w:r w:rsidRPr="00716DB3">
        <w:rPr>
          <w:rFonts w:eastAsia="Times New Roman" w:hint="eastAsia"/>
          <w:lang w:val="en-US"/>
        </w:rPr>
        <w:t xml:space="preserve"> </w:t>
      </w:r>
      <w:r w:rsidRPr="00716DB3">
        <w:rPr>
          <w:lang w:val="en-US"/>
        </w:rPr>
        <w:t>identify</w:t>
      </w:r>
      <w:r w:rsidRPr="00716DB3">
        <w:rPr>
          <w:rFonts w:eastAsia="Times New Roman" w:hint="eastAsia"/>
          <w:lang w:val="en-US"/>
        </w:rPr>
        <w:t xml:space="preserve"> the </w:t>
      </w:r>
      <w:r w:rsidRPr="00716DB3">
        <w:rPr>
          <w:lang w:val="en-US"/>
        </w:rPr>
        <w:t xml:space="preserve">requirements and study </w:t>
      </w:r>
      <w:r w:rsidRPr="00716DB3">
        <w:rPr>
          <w:rFonts w:eastAsia="Times New Roman" w:hint="eastAsia"/>
          <w:lang w:val="en-US"/>
        </w:rPr>
        <w:t xml:space="preserve">solutions </w:t>
      </w:r>
      <w:r w:rsidRPr="00716DB3">
        <w:rPr>
          <w:lang w:val="en-US"/>
        </w:rPr>
        <w:t>to support</w:t>
      </w:r>
      <w:r w:rsidRPr="00716DB3">
        <w:rPr>
          <w:rFonts w:eastAsia="Times New Roman" w:hint="eastAsia"/>
          <w:lang w:val="en-US"/>
        </w:rPr>
        <w:t xml:space="preserve"> </w:t>
      </w:r>
      <w:proofErr w:type="spellStart"/>
      <w:r w:rsidR="00716DB3">
        <w:rPr>
          <w:lang w:val="en-US"/>
        </w:rPr>
        <w:t>sidelink</w:t>
      </w:r>
      <w:proofErr w:type="spellEnd"/>
      <w:r w:rsidR="00716DB3">
        <w:rPr>
          <w:lang w:val="en-US"/>
        </w:rPr>
        <w:t xml:space="preserve"> communication over</w:t>
      </w:r>
      <w:r w:rsidRPr="00716DB3">
        <w:rPr>
          <w:lang w:val="en-US"/>
        </w:rPr>
        <w:t xml:space="preserve"> unlicensed spectrums</w:t>
      </w:r>
      <w:r w:rsidR="00716DB3">
        <w:rPr>
          <w:lang w:val="en-US"/>
        </w:rPr>
        <w:t xml:space="preserve"> with or without the assistance from licensed spectrum</w:t>
      </w:r>
      <w:r w:rsidRPr="00716DB3">
        <w:rPr>
          <w:rFonts w:eastAsia="Times New Roman" w:hint="eastAsia"/>
          <w:lang w:val="en-US"/>
        </w:rPr>
        <w:t xml:space="preserve">, </w:t>
      </w:r>
      <w:r w:rsidRPr="00716DB3">
        <w:rPr>
          <w:lang w:val="en-US"/>
        </w:rPr>
        <w:t>with the existing NR Rel-1</w:t>
      </w:r>
      <w:r w:rsidR="00716DB3">
        <w:rPr>
          <w:lang w:val="en-US"/>
        </w:rPr>
        <w:t>6</w:t>
      </w:r>
      <w:r w:rsidRPr="00716DB3">
        <w:rPr>
          <w:lang w:val="en-US"/>
        </w:rPr>
        <w:t>/1</w:t>
      </w:r>
      <w:r w:rsidR="00716DB3">
        <w:rPr>
          <w:lang w:val="en-US"/>
        </w:rPr>
        <w:t xml:space="preserve">7 NR-U and </w:t>
      </w:r>
      <w:proofErr w:type="spellStart"/>
      <w:r w:rsidR="00716DB3">
        <w:rPr>
          <w:lang w:val="en-US"/>
        </w:rPr>
        <w:t>sidelink</w:t>
      </w:r>
      <w:proofErr w:type="spellEnd"/>
      <w:r w:rsidR="00716DB3">
        <w:rPr>
          <w:lang w:val="en-US"/>
        </w:rPr>
        <w:t xml:space="preserve"> technologies</w:t>
      </w:r>
      <w:r w:rsidRPr="00716DB3">
        <w:rPr>
          <w:lang w:val="en-US"/>
        </w:rPr>
        <w:t xml:space="preserve"> as </w:t>
      </w:r>
      <w:r w:rsidRPr="00716DB3">
        <w:rPr>
          <w:rFonts w:eastAsia="Times New Roman" w:hint="eastAsia"/>
          <w:lang w:val="en-US"/>
        </w:rPr>
        <w:t xml:space="preserve">the starting point. </w:t>
      </w:r>
      <w:r w:rsidRPr="00716DB3">
        <w:rPr>
          <w:lang w:val="en-US"/>
        </w:rPr>
        <w:t>The following items</w:t>
      </w:r>
      <w:r w:rsidR="00716DB3">
        <w:rPr>
          <w:lang w:val="en-US"/>
        </w:rPr>
        <w:t xml:space="preserve"> can be focused</w:t>
      </w:r>
      <w:r w:rsidRPr="00716DB3">
        <w:rPr>
          <w:rFonts w:eastAsia="Times New Roman" w:hint="eastAsia"/>
          <w:lang w:val="en-US"/>
        </w:rPr>
        <w:t>:</w:t>
      </w:r>
    </w:p>
    <w:p w14:paraId="543EE45C" w14:textId="31D0C1FF" w:rsidR="00716DB3" w:rsidRPr="00716DB3" w:rsidRDefault="00237384" w:rsidP="006A4F6A">
      <w:pPr>
        <w:pStyle w:val="a"/>
        <w:numPr>
          <w:ilvl w:val="0"/>
          <w:numId w:val="13"/>
        </w:numPr>
        <w:jc w:val="both"/>
        <w:rPr>
          <w:sz w:val="20"/>
          <w:szCs w:val="20"/>
        </w:rPr>
      </w:pPr>
      <w:r w:rsidRPr="00716DB3">
        <w:rPr>
          <w:sz w:val="20"/>
          <w:szCs w:val="20"/>
        </w:rPr>
        <w:t xml:space="preserve"> </w:t>
      </w:r>
      <w:r w:rsidR="00716DB3" w:rsidRPr="00716DB3">
        <w:rPr>
          <w:rFonts w:eastAsia="Times New Roman"/>
          <w:sz w:val="20"/>
          <w:szCs w:val="20"/>
        </w:rPr>
        <w:t xml:space="preserve">Physical layer </w:t>
      </w:r>
    </w:p>
    <w:p w14:paraId="0BCB7996" w14:textId="77777777" w:rsidR="00716DB3" w:rsidRPr="00716DB3" w:rsidRDefault="00716DB3" w:rsidP="006A4F6A">
      <w:pPr>
        <w:pStyle w:val="a"/>
        <w:numPr>
          <w:ilvl w:val="1"/>
          <w:numId w:val="13"/>
        </w:numPr>
        <w:jc w:val="both"/>
        <w:rPr>
          <w:sz w:val="20"/>
          <w:szCs w:val="20"/>
        </w:rPr>
      </w:pPr>
      <w:r w:rsidRPr="00716DB3">
        <w:rPr>
          <w:rFonts w:eastAsia="Times New Roman"/>
          <w:sz w:val="20"/>
          <w:szCs w:val="20"/>
        </w:rPr>
        <w:t>Physical layer channels and signals</w:t>
      </w:r>
    </w:p>
    <w:p w14:paraId="18043301" w14:textId="48A39A3D" w:rsidR="00716DB3" w:rsidRPr="00716DB3" w:rsidRDefault="00716DB3" w:rsidP="006A4F6A">
      <w:pPr>
        <w:pStyle w:val="a"/>
        <w:numPr>
          <w:ilvl w:val="2"/>
          <w:numId w:val="13"/>
        </w:numPr>
        <w:jc w:val="both"/>
        <w:rPr>
          <w:sz w:val="20"/>
          <w:szCs w:val="20"/>
        </w:rPr>
      </w:pPr>
      <w:proofErr w:type="spellStart"/>
      <w:r w:rsidRPr="00716DB3">
        <w:rPr>
          <w:rFonts w:eastAsia="Times New Roman"/>
          <w:sz w:val="20"/>
          <w:szCs w:val="20"/>
        </w:rPr>
        <w:t>Sidelink</w:t>
      </w:r>
      <w:proofErr w:type="spellEnd"/>
      <w:r w:rsidRPr="00716DB3">
        <w:rPr>
          <w:rFonts w:eastAsia="Times New Roman"/>
          <w:sz w:val="20"/>
          <w:szCs w:val="20"/>
        </w:rPr>
        <w:t xml:space="preserve"> waveform design for PSCCH, PSSCH, and PSFCH </w:t>
      </w:r>
      <w:r>
        <w:rPr>
          <w:sz w:val="20"/>
          <w:szCs w:val="20"/>
        </w:rPr>
        <w:t xml:space="preserve">to </w:t>
      </w:r>
      <w:r w:rsidRPr="00716DB3">
        <w:rPr>
          <w:rFonts w:eastAsia="Times New Roman"/>
          <w:sz w:val="20"/>
          <w:szCs w:val="20"/>
        </w:rPr>
        <w:t>meet</w:t>
      </w:r>
      <w:r>
        <w:rPr>
          <w:sz w:val="20"/>
          <w:szCs w:val="20"/>
        </w:rPr>
        <w:t xml:space="preserve"> both</w:t>
      </w:r>
      <w:r w:rsidRPr="00716DB3">
        <w:rPr>
          <w:rFonts w:eastAsia="Times New Roman"/>
          <w:sz w:val="20"/>
          <w:szCs w:val="20"/>
        </w:rPr>
        <w:t xml:space="preserve"> OCB and PSD requirements. </w:t>
      </w:r>
    </w:p>
    <w:p w14:paraId="74257A16" w14:textId="4760F193" w:rsidR="00716DB3" w:rsidRDefault="00716DB3" w:rsidP="006A4F6A">
      <w:pPr>
        <w:pStyle w:val="a"/>
        <w:numPr>
          <w:ilvl w:val="2"/>
          <w:numId w:val="13"/>
        </w:numPr>
        <w:jc w:val="both"/>
        <w:rPr>
          <w:sz w:val="20"/>
          <w:szCs w:val="20"/>
        </w:rPr>
      </w:pPr>
      <w:r w:rsidRPr="00716DB3">
        <w:rPr>
          <w:rFonts w:eastAsia="Times New Roman"/>
          <w:sz w:val="20"/>
          <w:szCs w:val="20"/>
        </w:rPr>
        <w:t>Discovery Reference Signal (DRS) window containing at least SL SSBs, PSBCH and possibly CSI-RS with properties and extensions to handle reduced SSB and RMSI transmission opportunities due to LBT failure.</w:t>
      </w:r>
    </w:p>
    <w:p w14:paraId="6D205EF4" w14:textId="1D01EB96" w:rsidR="00716DB3" w:rsidRDefault="00716DB3" w:rsidP="006A4F6A">
      <w:pPr>
        <w:pStyle w:val="a"/>
        <w:numPr>
          <w:ilvl w:val="2"/>
          <w:numId w:val="13"/>
        </w:numPr>
        <w:jc w:val="both"/>
        <w:rPr>
          <w:sz w:val="20"/>
          <w:szCs w:val="20"/>
        </w:rPr>
      </w:pPr>
      <w:r>
        <w:rPr>
          <w:sz w:val="20"/>
          <w:szCs w:val="20"/>
        </w:rPr>
        <w:t>SCI format design with consideration of LBT-related parameters.</w:t>
      </w:r>
    </w:p>
    <w:p w14:paraId="6DB7A16C" w14:textId="3D6BCAA1" w:rsidR="00716DB3" w:rsidRPr="00716DB3" w:rsidRDefault="00716DB3" w:rsidP="006A4F6A">
      <w:pPr>
        <w:pStyle w:val="a"/>
        <w:numPr>
          <w:ilvl w:val="1"/>
          <w:numId w:val="13"/>
        </w:numPr>
        <w:jc w:val="both"/>
        <w:rPr>
          <w:sz w:val="20"/>
          <w:szCs w:val="20"/>
        </w:rPr>
      </w:pPr>
      <w:r>
        <w:rPr>
          <w:sz w:val="20"/>
          <w:szCs w:val="20"/>
        </w:rPr>
        <w:t>Physical layer procedures</w:t>
      </w:r>
    </w:p>
    <w:p w14:paraId="5850C335" w14:textId="77777777" w:rsidR="00716DB3" w:rsidRPr="00716DB3" w:rsidRDefault="00716DB3" w:rsidP="006A4F6A">
      <w:pPr>
        <w:pStyle w:val="a"/>
        <w:numPr>
          <w:ilvl w:val="2"/>
          <w:numId w:val="13"/>
        </w:numPr>
        <w:jc w:val="both"/>
        <w:rPr>
          <w:sz w:val="20"/>
          <w:szCs w:val="20"/>
        </w:rPr>
      </w:pPr>
      <w:r w:rsidRPr="00716DB3">
        <w:rPr>
          <w:rFonts w:eastAsia="Times New Roman"/>
          <w:sz w:val="20"/>
          <w:szCs w:val="20"/>
        </w:rPr>
        <w:t>Resource allocation based on scheduling and sensing are included.</w:t>
      </w:r>
    </w:p>
    <w:p w14:paraId="5CC99E31" w14:textId="77777777" w:rsidR="00716DB3" w:rsidRPr="00716DB3" w:rsidRDefault="00716DB3" w:rsidP="006A4F6A">
      <w:pPr>
        <w:pStyle w:val="a"/>
        <w:numPr>
          <w:ilvl w:val="2"/>
          <w:numId w:val="13"/>
        </w:numPr>
        <w:jc w:val="both"/>
        <w:rPr>
          <w:sz w:val="20"/>
          <w:szCs w:val="20"/>
        </w:rPr>
      </w:pPr>
      <w:r w:rsidRPr="00716DB3">
        <w:rPr>
          <w:rFonts w:eastAsia="Times New Roman"/>
          <w:sz w:val="20"/>
          <w:szCs w:val="20"/>
        </w:rPr>
        <w:t>UE-to-UE COT sharing among Tx UE and Rx UEs for simple channel access.</w:t>
      </w:r>
    </w:p>
    <w:p w14:paraId="3DC6B5E9" w14:textId="77777777" w:rsidR="00716DB3" w:rsidRPr="00716DB3" w:rsidRDefault="00716DB3" w:rsidP="006A4F6A">
      <w:pPr>
        <w:pStyle w:val="a"/>
        <w:numPr>
          <w:ilvl w:val="2"/>
          <w:numId w:val="13"/>
        </w:numPr>
        <w:jc w:val="both"/>
        <w:rPr>
          <w:sz w:val="20"/>
          <w:szCs w:val="20"/>
        </w:rPr>
      </w:pPr>
      <w:r w:rsidRPr="00716DB3">
        <w:rPr>
          <w:rFonts w:eastAsia="Times New Roman"/>
          <w:sz w:val="20"/>
          <w:szCs w:val="20"/>
        </w:rPr>
        <w:t>Channel access mechanism for fair coexistence.</w:t>
      </w:r>
    </w:p>
    <w:p w14:paraId="5330CC77" w14:textId="7CAFFDEC" w:rsidR="00716DB3" w:rsidRPr="00716DB3" w:rsidRDefault="00716DB3" w:rsidP="006A4F6A">
      <w:pPr>
        <w:pStyle w:val="a"/>
        <w:numPr>
          <w:ilvl w:val="0"/>
          <w:numId w:val="13"/>
        </w:numPr>
        <w:jc w:val="both"/>
        <w:rPr>
          <w:sz w:val="20"/>
          <w:szCs w:val="20"/>
        </w:rPr>
      </w:pPr>
      <w:r w:rsidRPr="00716DB3">
        <w:rPr>
          <w:rFonts w:eastAsia="Times New Roman"/>
          <w:sz w:val="20"/>
          <w:szCs w:val="20"/>
        </w:rPr>
        <w:t>Radio interface protocol architecture and procedures</w:t>
      </w:r>
      <w:r>
        <w:rPr>
          <w:sz w:val="20"/>
          <w:szCs w:val="20"/>
        </w:rPr>
        <w:t xml:space="preserve"> </w:t>
      </w:r>
    </w:p>
    <w:p w14:paraId="1220E3B9" w14:textId="77777777" w:rsidR="00716DB3" w:rsidRPr="00716DB3" w:rsidRDefault="00716DB3" w:rsidP="006A4F6A">
      <w:pPr>
        <w:pStyle w:val="a"/>
        <w:numPr>
          <w:ilvl w:val="1"/>
          <w:numId w:val="13"/>
        </w:numPr>
        <w:jc w:val="both"/>
        <w:rPr>
          <w:sz w:val="20"/>
          <w:szCs w:val="20"/>
        </w:rPr>
      </w:pPr>
      <w:r w:rsidRPr="00716DB3">
        <w:rPr>
          <w:rFonts w:eastAsia="Times New Roman"/>
          <w:sz w:val="20"/>
          <w:szCs w:val="20"/>
        </w:rPr>
        <w:t xml:space="preserve">Relevant protocol and procedure enhancements (e.g. RRC and MAC) to support service continuity on unlicensed spectrum. </w:t>
      </w:r>
    </w:p>
    <w:p w14:paraId="34C99636" w14:textId="1301602E" w:rsidR="008E7986" w:rsidRDefault="000426BE" w:rsidP="006A4F6A">
      <w:pPr>
        <w:pStyle w:val="Heading1"/>
        <w:jc w:val="both"/>
      </w:pPr>
      <w:r>
        <w:t>4</w:t>
      </w:r>
      <w:r w:rsidR="008E7986">
        <w:tab/>
        <w:t>Conclusions</w:t>
      </w:r>
    </w:p>
    <w:p w14:paraId="6F3027FC" w14:textId="3B75DFEB" w:rsidR="00BA300B" w:rsidRDefault="00CC0756" w:rsidP="006A4F6A">
      <w:pPr>
        <w:jc w:val="both"/>
      </w:pPr>
      <w:r>
        <w:t xml:space="preserve">In this discussion paper we have presented our </w:t>
      </w:r>
      <w:r w:rsidR="00716DB3">
        <w:t>views on using unlicensed spectrum for sidelink communication</w:t>
      </w:r>
      <w:r w:rsidR="007B7436">
        <w:t>.</w:t>
      </w:r>
      <w:r w:rsidR="00716DB3">
        <w:t xml:space="preserve"> </w:t>
      </w:r>
      <w:r w:rsidR="00F63CEF">
        <w:t xml:space="preserve">The relevant motivations and objectives are analysed in Section 2 and Section 3. </w:t>
      </w:r>
      <w:r w:rsidR="00F63CEF">
        <w:rPr>
          <w:rFonts w:eastAsia="Times New Roman"/>
          <w:lang w:val="en-US"/>
        </w:rPr>
        <w:t>Based on the above, we have below proposals:</w:t>
      </w:r>
      <w:r w:rsidR="00716DB3">
        <w:t xml:space="preserve"> </w:t>
      </w:r>
    </w:p>
    <w:p w14:paraId="341C1EED" w14:textId="4C54B85F" w:rsidR="00F63CEF" w:rsidRPr="00F63CEF" w:rsidRDefault="00F63CEF" w:rsidP="006A4F6A">
      <w:pPr>
        <w:jc w:val="both"/>
        <w:rPr>
          <w:b/>
          <w:bCs/>
          <w:i/>
          <w:iCs/>
        </w:rPr>
      </w:pPr>
      <w:r w:rsidRPr="00F63CEF">
        <w:rPr>
          <w:b/>
          <w:bCs/>
          <w:i/>
          <w:iCs/>
        </w:rPr>
        <w:t>Proposal: Support a new item on using unlicensed spectrum for sidelink communication.</w:t>
      </w:r>
    </w:p>
    <w:p w14:paraId="05CC6F0A" w14:textId="39DBDEB1" w:rsidR="005E69AE" w:rsidRDefault="005E69AE" w:rsidP="006A4F6A">
      <w:pPr>
        <w:spacing w:after="0"/>
        <w:jc w:val="both"/>
      </w:pPr>
    </w:p>
    <w:p w14:paraId="5D2DDC34" w14:textId="77777777" w:rsidR="005E69AE" w:rsidRDefault="005E69AE" w:rsidP="006A4F6A">
      <w:pPr>
        <w:pStyle w:val="Heading1"/>
        <w:jc w:val="both"/>
      </w:pPr>
      <w:r>
        <w:t>4</w:t>
      </w:r>
      <w:r>
        <w:tab/>
        <w:t>References</w:t>
      </w:r>
    </w:p>
    <w:p w14:paraId="4D133CD8" w14:textId="77777777" w:rsidR="00276EE4" w:rsidRPr="003A0483" w:rsidRDefault="00276EE4" w:rsidP="006A4F6A">
      <w:pPr>
        <w:jc w:val="both"/>
      </w:pPr>
    </w:p>
    <w:p w14:paraId="48B6E7E3" w14:textId="557B02C1" w:rsidR="00CE5E6C" w:rsidRDefault="00616A35" w:rsidP="006A4F6A">
      <w:pPr>
        <w:pStyle w:val="EX"/>
        <w:jc w:val="both"/>
      </w:pPr>
      <w:bookmarkStart w:id="1" w:name="_Ref29900504"/>
      <w:bookmarkStart w:id="2" w:name="_Ref13820109"/>
      <w:r>
        <w:t>RP-190706</w:t>
      </w:r>
      <w:r w:rsidR="00CE5E6C" w:rsidRPr="00887FBB">
        <w:t xml:space="preserve">, </w:t>
      </w:r>
      <w:r w:rsidR="00CE5E6C">
        <w:t>"</w:t>
      </w:r>
      <w:r w:rsidRPr="00616A35">
        <w:t xml:space="preserve"> Revised WID on NR-based Access to Unlicensed Spectrum </w:t>
      </w:r>
      <w:r w:rsidR="00CE5E6C">
        <w:t>"</w:t>
      </w:r>
      <w:r w:rsidR="00CE5E6C" w:rsidRPr="00887FBB">
        <w:t xml:space="preserve">, </w:t>
      </w:r>
      <w:bookmarkEnd w:id="1"/>
      <w:r>
        <w:t>Qualcomm</w:t>
      </w:r>
    </w:p>
    <w:p w14:paraId="5227F5C6" w14:textId="0DD552C7" w:rsidR="0007023A" w:rsidRPr="00887FBB" w:rsidRDefault="00616A35" w:rsidP="006A4F6A">
      <w:pPr>
        <w:pStyle w:val="EX"/>
        <w:jc w:val="both"/>
      </w:pPr>
      <w:bookmarkStart w:id="3" w:name="_Ref50274420"/>
      <w:r>
        <w:lastRenderedPageBreak/>
        <w:t>RP-190766</w:t>
      </w:r>
      <w:r w:rsidR="0007023A">
        <w:t>, "</w:t>
      </w:r>
      <w:r w:rsidRPr="00616A35">
        <w:t xml:space="preserve"> New WID on 5G V2X with NR sidelink </w:t>
      </w:r>
      <w:r w:rsidR="0007023A">
        <w:t xml:space="preserve">", </w:t>
      </w:r>
      <w:r w:rsidRPr="00616A35">
        <w:t>LG Electronics, Huawei</w:t>
      </w:r>
      <w:bookmarkEnd w:id="3"/>
    </w:p>
    <w:p w14:paraId="2BEABB25" w14:textId="1CEC7DB8" w:rsidR="00CE5E6C" w:rsidRDefault="00616A35" w:rsidP="006A4F6A">
      <w:pPr>
        <w:pStyle w:val="EX"/>
        <w:jc w:val="both"/>
      </w:pPr>
      <w:bookmarkStart w:id="4" w:name="_Ref29900516"/>
      <w:r>
        <w:t>RP-201310</w:t>
      </w:r>
      <w:r w:rsidR="00CE5E6C">
        <w:t>, "</w:t>
      </w:r>
      <w:r w:rsidRPr="00616A35">
        <w:t xml:space="preserve"> Revised WID: Enhanced Industrial Internet of Things (IoT) and ultra-reliable and low latency communication (URLLC) support for NR </w:t>
      </w:r>
      <w:r w:rsidR="00CE5E6C">
        <w:t xml:space="preserve">", </w:t>
      </w:r>
      <w:r w:rsidRPr="00616A35">
        <w:t>Nokia, Nokia Shanghai Bell</w:t>
      </w:r>
      <w:bookmarkEnd w:id="4"/>
    </w:p>
    <w:bookmarkEnd w:id="0"/>
    <w:bookmarkEnd w:id="2"/>
    <w:p w14:paraId="02656AEC" w14:textId="086A88FC" w:rsidR="005E69AE" w:rsidRPr="004D3578" w:rsidRDefault="005E69AE" w:rsidP="006A4F6A">
      <w:pPr>
        <w:pStyle w:val="EX"/>
        <w:numPr>
          <w:ilvl w:val="0"/>
          <w:numId w:val="0"/>
        </w:numPr>
        <w:jc w:val="both"/>
      </w:pPr>
    </w:p>
    <w:sectPr w:rsidR="005E69AE" w:rsidRPr="004D357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3C6E8" w14:textId="77777777" w:rsidR="00E52A34" w:rsidRDefault="00E52A34">
      <w:r>
        <w:separator/>
      </w:r>
    </w:p>
  </w:endnote>
  <w:endnote w:type="continuationSeparator" w:id="0">
    <w:p w14:paraId="04770B61" w14:textId="77777777" w:rsidR="00E52A34" w:rsidRDefault="00E5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BC082" w14:textId="77777777" w:rsidR="00E52A34" w:rsidRDefault="00E52A34">
      <w:r>
        <w:separator/>
      </w:r>
    </w:p>
  </w:footnote>
  <w:footnote w:type="continuationSeparator" w:id="0">
    <w:p w14:paraId="1B090414" w14:textId="77777777" w:rsidR="00E52A34" w:rsidRDefault="00E5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242B95"/>
    <w:multiLevelType w:val="hybridMultilevel"/>
    <w:tmpl w:val="5AC6DB60"/>
    <w:lvl w:ilvl="0" w:tplc="A70A979A">
      <w:start w:val="1"/>
      <w:numFmt w:val="bullet"/>
      <w:lvlText w:val="•"/>
      <w:lvlJc w:val="left"/>
      <w:pPr>
        <w:tabs>
          <w:tab w:val="num" w:pos="720"/>
        </w:tabs>
        <w:ind w:left="720" w:hanging="360"/>
      </w:pPr>
      <w:rPr>
        <w:rFonts w:ascii="Arial" w:hAnsi="Arial" w:hint="default"/>
      </w:rPr>
    </w:lvl>
    <w:lvl w:ilvl="1" w:tplc="7E7865DE">
      <w:numFmt w:val="bullet"/>
      <w:lvlText w:val="•"/>
      <w:lvlJc w:val="left"/>
      <w:pPr>
        <w:tabs>
          <w:tab w:val="num" w:pos="1440"/>
        </w:tabs>
        <w:ind w:left="1440" w:hanging="360"/>
      </w:pPr>
      <w:rPr>
        <w:rFonts w:ascii="Arial" w:hAnsi="Arial" w:hint="default"/>
      </w:rPr>
    </w:lvl>
    <w:lvl w:ilvl="2" w:tplc="536A8B24">
      <w:numFmt w:val="bullet"/>
      <w:lvlText w:val="•"/>
      <w:lvlJc w:val="left"/>
      <w:pPr>
        <w:tabs>
          <w:tab w:val="num" w:pos="2160"/>
        </w:tabs>
        <w:ind w:left="2160" w:hanging="360"/>
      </w:pPr>
      <w:rPr>
        <w:rFonts w:ascii="Arial" w:hAnsi="Arial" w:hint="default"/>
      </w:rPr>
    </w:lvl>
    <w:lvl w:ilvl="3" w:tplc="6006521E" w:tentative="1">
      <w:start w:val="1"/>
      <w:numFmt w:val="bullet"/>
      <w:lvlText w:val="•"/>
      <w:lvlJc w:val="left"/>
      <w:pPr>
        <w:tabs>
          <w:tab w:val="num" w:pos="2880"/>
        </w:tabs>
        <w:ind w:left="2880" w:hanging="360"/>
      </w:pPr>
      <w:rPr>
        <w:rFonts w:ascii="Arial" w:hAnsi="Arial" w:hint="default"/>
      </w:rPr>
    </w:lvl>
    <w:lvl w:ilvl="4" w:tplc="C4B612BA" w:tentative="1">
      <w:start w:val="1"/>
      <w:numFmt w:val="bullet"/>
      <w:lvlText w:val="•"/>
      <w:lvlJc w:val="left"/>
      <w:pPr>
        <w:tabs>
          <w:tab w:val="num" w:pos="3600"/>
        </w:tabs>
        <w:ind w:left="3600" w:hanging="360"/>
      </w:pPr>
      <w:rPr>
        <w:rFonts w:ascii="Arial" w:hAnsi="Arial" w:hint="default"/>
      </w:rPr>
    </w:lvl>
    <w:lvl w:ilvl="5" w:tplc="D69012BC" w:tentative="1">
      <w:start w:val="1"/>
      <w:numFmt w:val="bullet"/>
      <w:lvlText w:val="•"/>
      <w:lvlJc w:val="left"/>
      <w:pPr>
        <w:tabs>
          <w:tab w:val="num" w:pos="4320"/>
        </w:tabs>
        <w:ind w:left="4320" w:hanging="360"/>
      </w:pPr>
      <w:rPr>
        <w:rFonts w:ascii="Arial" w:hAnsi="Arial" w:hint="default"/>
      </w:rPr>
    </w:lvl>
    <w:lvl w:ilvl="6" w:tplc="287A4112" w:tentative="1">
      <w:start w:val="1"/>
      <w:numFmt w:val="bullet"/>
      <w:lvlText w:val="•"/>
      <w:lvlJc w:val="left"/>
      <w:pPr>
        <w:tabs>
          <w:tab w:val="num" w:pos="5040"/>
        </w:tabs>
        <w:ind w:left="5040" w:hanging="360"/>
      </w:pPr>
      <w:rPr>
        <w:rFonts w:ascii="Arial" w:hAnsi="Arial" w:hint="default"/>
      </w:rPr>
    </w:lvl>
    <w:lvl w:ilvl="7" w:tplc="DD0EE2F2" w:tentative="1">
      <w:start w:val="1"/>
      <w:numFmt w:val="bullet"/>
      <w:lvlText w:val="•"/>
      <w:lvlJc w:val="left"/>
      <w:pPr>
        <w:tabs>
          <w:tab w:val="num" w:pos="5760"/>
        </w:tabs>
        <w:ind w:left="5760" w:hanging="360"/>
      </w:pPr>
      <w:rPr>
        <w:rFonts w:ascii="Arial" w:hAnsi="Arial" w:hint="default"/>
      </w:rPr>
    </w:lvl>
    <w:lvl w:ilvl="8" w:tplc="F566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1F1B46"/>
    <w:multiLevelType w:val="multilevel"/>
    <w:tmpl w:val="E50A4D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40A08"/>
    <w:multiLevelType w:val="multilevel"/>
    <w:tmpl w:val="19900270"/>
    <w:lvl w:ilvl="0">
      <w:start w:val="4"/>
      <w:numFmt w:val="bullet"/>
      <w:lvlText w:val="-"/>
      <w:lvlJc w:val="left"/>
      <w:pPr>
        <w:tabs>
          <w:tab w:val="num" w:pos="720"/>
        </w:tabs>
        <w:ind w:left="720" w:hanging="360"/>
      </w:pPr>
      <w:rPr>
        <w:rFonts w:ascii="Times New Roman" w:eastAsia="MS Mincho"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8870BC"/>
    <w:multiLevelType w:val="hybridMultilevel"/>
    <w:tmpl w:val="677C8784"/>
    <w:lvl w:ilvl="0" w:tplc="6C5A4616">
      <w:start w:val="1"/>
      <w:numFmt w:val="bullet"/>
      <w:lvlText w:val="•"/>
      <w:lvlJc w:val="left"/>
      <w:pPr>
        <w:tabs>
          <w:tab w:val="num" w:pos="720"/>
        </w:tabs>
        <w:ind w:left="720" w:hanging="360"/>
      </w:pPr>
      <w:rPr>
        <w:rFonts w:ascii="Arial" w:hAnsi="Arial" w:hint="default"/>
      </w:rPr>
    </w:lvl>
    <w:lvl w:ilvl="1" w:tplc="3320A072" w:tentative="1">
      <w:start w:val="1"/>
      <w:numFmt w:val="bullet"/>
      <w:lvlText w:val="•"/>
      <w:lvlJc w:val="left"/>
      <w:pPr>
        <w:tabs>
          <w:tab w:val="num" w:pos="1440"/>
        </w:tabs>
        <w:ind w:left="1440" w:hanging="360"/>
      </w:pPr>
      <w:rPr>
        <w:rFonts w:ascii="Arial" w:hAnsi="Arial" w:hint="default"/>
      </w:rPr>
    </w:lvl>
    <w:lvl w:ilvl="2" w:tplc="D804BE7A" w:tentative="1">
      <w:start w:val="1"/>
      <w:numFmt w:val="bullet"/>
      <w:lvlText w:val="•"/>
      <w:lvlJc w:val="left"/>
      <w:pPr>
        <w:tabs>
          <w:tab w:val="num" w:pos="2160"/>
        </w:tabs>
        <w:ind w:left="2160" w:hanging="360"/>
      </w:pPr>
      <w:rPr>
        <w:rFonts w:ascii="Arial" w:hAnsi="Arial" w:hint="default"/>
      </w:rPr>
    </w:lvl>
    <w:lvl w:ilvl="3" w:tplc="F2DC7A12" w:tentative="1">
      <w:start w:val="1"/>
      <w:numFmt w:val="bullet"/>
      <w:lvlText w:val="•"/>
      <w:lvlJc w:val="left"/>
      <w:pPr>
        <w:tabs>
          <w:tab w:val="num" w:pos="2880"/>
        </w:tabs>
        <w:ind w:left="2880" w:hanging="360"/>
      </w:pPr>
      <w:rPr>
        <w:rFonts w:ascii="Arial" w:hAnsi="Arial" w:hint="default"/>
      </w:rPr>
    </w:lvl>
    <w:lvl w:ilvl="4" w:tplc="60088E78" w:tentative="1">
      <w:start w:val="1"/>
      <w:numFmt w:val="bullet"/>
      <w:lvlText w:val="•"/>
      <w:lvlJc w:val="left"/>
      <w:pPr>
        <w:tabs>
          <w:tab w:val="num" w:pos="3600"/>
        </w:tabs>
        <w:ind w:left="3600" w:hanging="360"/>
      </w:pPr>
      <w:rPr>
        <w:rFonts w:ascii="Arial" w:hAnsi="Arial" w:hint="default"/>
      </w:rPr>
    </w:lvl>
    <w:lvl w:ilvl="5" w:tplc="0F8E0778" w:tentative="1">
      <w:start w:val="1"/>
      <w:numFmt w:val="bullet"/>
      <w:lvlText w:val="•"/>
      <w:lvlJc w:val="left"/>
      <w:pPr>
        <w:tabs>
          <w:tab w:val="num" w:pos="4320"/>
        </w:tabs>
        <w:ind w:left="4320" w:hanging="360"/>
      </w:pPr>
      <w:rPr>
        <w:rFonts w:ascii="Arial" w:hAnsi="Arial" w:hint="default"/>
      </w:rPr>
    </w:lvl>
    <w:lvl w:ilvl="6" w:tplc="EE34E038" w:tentative="1">
      <w:start w:val="1"/>
      <w:numFmt w:val="bullet"/>
      <w:lvlText w:val="•"/>
      <w:lvlJc w:val="left"/>
      <w:pPr>
        <w:tabs>
          <w:tab w:val="num" w:pos="5040"/>
        </w:tabs>
        <w:ind w:left="5040" w:hanging="360"/>
      </w:pPr>
      <w:rPr>
        <w:rFonts w:ascii="Arial" w:hAnsi="Arial" w:hint="default"/>
      </w:rPr>
    </w:lvl>
    <w:lvl w:ilvl="7" w:tplc="76367A38" w:tentative="1">
      <w:start w:val="1"/>
      <w:numFmt w:val="bullet"/>
      <w:lvlText w:val="•"/>
      <w:lvlJc w:val="left"/>
      <w:pPr>
        <w:tabs>
          <w:tab w:val="num" w:pos="5760"/>
        </w:tabs>
        <w:ind w:left="5760" w:hanging="360"/>
      </w:pPr>
      <w:rPr>
        <w:rFonts w:ascii="Arial" w:hAnsi="Arial" w:hint="default"/>
      </w:rPr>
    </w:lvl>
    <w:lvl w:ilvl="8" w:tplc="43161B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DC3B73"/>
    <w:multiLevelType w:val="hybridMultilevel"/>
    <w:tmpl w:val="EC9E25F6"/>
    <w:lvl w:ilvl="0" w:tplc="BEC89A1C">
      <w:start w:val="1"/>
      <w:numFmt w:val="bullet"/>
      <w:lvlText w:val=""/>
      <w:lvlJc w:val="left"/>
      <w:pPr>
        <w:tabs>
          <w:tab w:val="num" w:pos="720"/>
        </w:tabs>
        <w:ind w:left="720" w:hanging="360"/>
      </w:pPr>
      <w:rPr>
        <w:rFonts w:ascii="Wingdings" w:hAnsi="Wingdings" w:hint="default"/>
      </w:rPr>
    </w:lvl>
    <w:lvl w:ilvl="1" w:tplc="CDA25A1A">
      <w:numFmt w:val="bullet"/>
      <w:lvlText w:val=""/>
      <w:lvlJc w:val="left"/>
      <w:pPr>
        <w:tabs>
          <w:tab w:val="num" w:pos="1440"/>
        </w:tabs>
        <w:ind w:left="1440" w:hanging="360"/>
      </w:pPr>
      <w:rPr>
        <w:rFonts w:ascii="Wingdings" w:hAnsi="Wingdings" w:hint="default"/>
      </w:rPr>
    </w:lvl>
    <w:lvl w:ilvl="2" w:tplc="1F1A8E0C" w:tentative="1">
      <w:start w:val="1"/>
      <w:numFmt w:val="bullet"/>
      <w:lvlText w:val=""/>
      <w:lvlJc w:val="left"/>
      <w:pPr>
        <w:tabs>
          <w:tab w:val="num" w:pos="2160"/>
        </w:tabs>
        <w:ind w:left="2160" w:hanging="360"/>
      </w:pPr>
      <w:rPr>
        <w:rFonts w:ascii="Wingdings" w:hAnsi="Wingdings" w:hint="default"/>
      </w:rPr>
    </w:lvl>
    <w:lvl w:ilvl="3" w:tplc="0244384A" w:tentative="1">
      <w:start w:val="1"/>
      <w:numFmt w:val="bullet"/>
      <w:lvlText w:val=""/>
      <w:lvlJc w:val="left"/>
      <w:pPr>
        <w:tabs>
          <w:tab w:val="num" w:pos="2880"/>
        </w:tabs>
        <w:ind w:left="2880" w:hanging="360"/>
      </w:pPr>
      <w:rPr>
        <w:rFonts w:ascii="Wingdings" w:hAnsi="Wingdings" w:hint="default"/>
      </w:rPr>
    </w:lvl>
    <w:lvl w:ilvl="4" w:tplc="FF805CBA" w:tentative="1">
      <w:start w:val="1"/>
      <w:numFmt w:val="bullet"/>
      <w:lvlText w:val=""/>
      <w:lvlJc w:val="left"/>
      <w:pPr>
        <w:tabs>
          <w:tab w:val="num" w:pos="3600"/>
        </w:tabs>
        <w:ind w:left="3600" w:hanging="360"/>
      </w:pPr>
      <w:rPr>
        <w:rFonts w:ascii="Wingdings" w:hAnsi="Wingdings" w:hint="default"/>
      </w:rPr>
    </w:lvl>
    <w:lvl w:ilvl="5" w:tplc="EA14BE22" w:tentative="1">
      <w:start w:val="1"/>
      <w:numFmt w:val="bullet"/>
      <w:lvlText w:val=""/>
      <w:lvlJc w:val="left"/>
      <w:pPr>
        <w:tabs>
          <w:tab w:val="num" w:pos="4320"/>
        </w:tabs>
        <w:ind w:left="4320" w:hanging="360"/>
      </w:pPr>
      <w:rPr>
        <w:rFonts w:ascii="Wingdings" w:hAnsi="Wingdings" w:hint="default"/>
      </w:rPr>
    </w:lvl>
    <w:lvl w:ilvl="6" w:tplc="D17ACBC8" w:tentative="1">
      <w:start w:val="1"/>
      <w:numFmt w:val="bullet"/>
      <w:lvlText w:val=""/>
      <w:lvlJc w:val="left"/>
      <w:pPr>
        <w:tabs>
          <w:tab w:val="num" w:pos="5040"/>
        </w:tabs>
        <w:ind w:left="5040" w:hanging="360"/>
      </w:pPr>
      <w:rPr>
        <w:rFonts w:ascii="Wingdings" w:hAnsi="Wingdings" w:hint="default"/>
      </w:rPr>
    </w:lvl>
    <w:lvl w:ilvl="7" w:tplc="54B872F4" w:tentative="1">
      <w:start w:val="1"/>
      <w:numFmt w:val="bullet"/>
      <w:lvlText w:val=""/>
      <w:lvlJc w:val="left"/>
      <w:pPr>
        <w:tabs>
          <w:tab w:val="num" w:pos="5760"/>
        </w:tabs>
        <w:ind w:left="5760" w:hanging="360"/>
      </w:pPr>
      <w:rPr>
        <w:rFonts w:ascii="Wingdings" w:hAnsi="Wingdings" w:hint="default"/>
      </w:rPr>
    </w:lvl>
    <w:lvl w:ilvl="8" w:tplc="5FF6DF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353D6A"/>
    <w:multiLevelType w:val="multilevel"/>
    <w:tmpl w:val="8864EAB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7"/>
  </w:num>
  <w:num w:numId="8">
    <w:abstractNumId w:val="3"/>
  </w:num>
  <w:num w:numId="9">
    <w:abstractNumId w:val="5"/>
  </w:num>
  <w:num w:numId="1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26BE"/>
    <w:rsid w:val="00051834"/>
    <w:rsid w:val="00054A22"/>
    <w:rsid w:val="00062023"/>
    <w:rsid w:val="000655A6"/>
    <w:rsid w:val="0007023A"/>
    <w:rsid w:val="00070C37"/>
    <w:rsid w:val="00072FE7"/>
    <w:rsid w:val="00080512"/>
    <w:rsid w:val="00081EC7"/>
    <w:rsid w:val="000922B6"/>
    <w:rsid w:val="000957D2"/>
    <w:rsid w:val="000A2256"/>
    <w:rsid w:val="000A365D"/>
    <w:rsid w:val="000A68F3"/>
    <w:rsid w:val="000A69DD"/>
    <w:rsid w:val="000C47C3"/>
    <w:rsid w:val="000D58AB"/>
    <w:rsid w:val="000F5337"/>
    <w:rsid w:val="00104BC6"/>
    <w:rsid w:val="0010608C"/>
    <w:rsid w:val="00114E2C"/>
    <w:rsid w:val="00133525"/>
    <w:rsid w:val="0016641C"/>
    <w:rsid w:val="00171224"/>
    <w:rsid w:val="00182A7F"/>
    <w:rsid w:val="00186F72"/>
    <w:rsid w:val="00192D1D"/>
    <w:rsid w:val="001A4C42"/>
    <w:rsid w:val="001C21C3"/>
    <w:rsid w:val="001D02C2"/>
    <w:rsid w:val="001E1C27"/>
    <w:rsid w:val="001E32BA"/>
    <w:rsid w:val="001F0C1D"/>
    <w:rsid w:val="001F1132"/>
    <w:rsid w:val="001F168B"/>
    <w:rsid w:val="001F33D4"/>
    <w:rsid w:val="00202817"/>
    <w:rsid w:val="002347A2"/>
    <w:rsid w:val="00235FD7"/>
    <w:rsid w:val="00237384"/>
    <w:rsid w:val="00244CBD"/>
    <w:rsid w:val="00247926"/>
    <w:rsid w:val="002675F0"/>
    <w:rsid w:val="00276EE4"/>
    <w:rsid w:val="0028520E"/>
    <w:rsid w:val="002868FE"/>
    <w:rsid w:val="00295A2B"/>
    <w:rsid w:val="002B6339"/>
    <w:rsid w:val="002B64DA"/>
    <w:rsid w:val="002E00EE"/>
    <w:rsid w:val="002F00E4"/>
    <w:rsid w:val="002F1DC8"/>
    <w:rsid w:val="002F29DA"/>
    <w:rsid w:val="002F310A"/>
    <w:rsid w:val="003172DC"/>
    <w:rsid w:val="0034052F"/>
    <w:rsid w:val="0035462D"/>
    <w:rsid w:val="0036303B"/>
    <w:rsid w:val="003765B8"/>
    <w:rsid w:val="00381974"/>
    <w:rsid w:val="003A0483"/>
    <w:rsid w:val="003C3971"/>
    <w:rsid w:val="003E03A1"/>
    <w:rsid w:val="003E7753"/>
    <w:rsid w:val="004116D7"/>
    <w:rsid w:val="00423334"/>
    <w:rsid w:val="004345EC"/>
    <w:rsid w:val="004427FB"/>
    <w:rsid w:val="004732BB"/>
    <w:rsid w:val="004826A9"/>
    <w:rsid w:val="004C1601"/>
    <w:rsid w:val="004D3578"/>
    <w:rsid w:val="004E213A"/>
    <w:rsid w:val="004E643E"/>
    <w:rsid w:val="004F0988"/>
    <w:rsid w:val="004F3340"/>
    <w:rsid w:val="004F3E3D"/>
    <w:rsid w:val="005142C2"/>
    <w:rsid w:val="0053388B"/>
    <w:rsid w:val="00535773"/>
    <w:rsid w:val="00543E6C"/>
    <w:rsid w:val="00544CFC"/>
    <w:rsid w:val="00565087"/>
    <w:rsid w:val="00572E14"/>
    <w:rsid w:val="005973BE"/>
    <w:rsid w:val="005A4F97"/>
    <w:rsid w:val="005A5986"/>
    <w:rsid w:val="005B4A8E"/>
    <w:rsid w:val="005D2E01"/>
    <w:rsid w:val="005D7526"/>
    <w:rsid w:val="005E69AE"/>
    <w:rsid w:val="00602AEA"/>
    <w:rsid w:val="006072F4"/>
    <w:rsid w:val="00607E3C"/>
    <w:rsid w:val="00614FDF"/>
    <w:rsid w:val="00616A35"/>
    <w:rsid w:val="006234C3"/>
    <w:rsid w:val="006246A7"/>
    <w:rsid w:val="0062595A"/>
    <w:rsid w:val="0063543D"/>
    <w:rsid w:val="00644DED"/>
    <w:rsid w:val="00647114"/>
    <w:rsid w:val="00652270"/>
    <w:rsid w:val="006A323F"/>
    <w:rsid w:val="006A4F6A"/>
    <w:rsid w:val="006B1BEF"/>
    <w:rsid w:val="006B30D0"/>
    <w:rsid w:val="006C3D95"/>
    <w:rsid w:val="006E5C86"/>
    <w:rsid w:val="006F6788"/>
    <w:rsid w:val="006F6D71"/>
    <w:rsid w:val="006F6DB8"/>
    <w:rsid w:val="007048AF"/>
    <w:rsid w:val="00711632"/>
    <w:rsid w:val="00713C44"/>
    <w:rsid w:val="00716DB3"/>
    <w:rsid w:val="007238A4"/>
    <w:rsid w:val="007308ED"/>
    <w:rsid w:val="00734A5B"/>
    <w:rsid w:val="0074026F"/>
    <w:rsid w:val="007429F6"/>
    <w:rsid w:val="00743681"/>
    <w:rsid w:val="00744E76"/>
    <w:rsid w:val="00752198"/>
    <w:rsid w:val="00753881"/>
    <w:rsid w:val="00766FC7"/>
    <w:rsid w:val="00774DA4"/>
    <w:rsid w:val="007776F7"/>
    <w:rsid w:val="00781F0F"/>
    <w:rsid w:val="007827C3"/>
    <w:rsid w:val="00785F02"/>
    <w:rsid w:val="007933DD"/>
    <w:rsid w:val="007B600E"/>
    <w:rsid w:val="007B7436"/>
    <w:rsid w:val="007F0F4A"/>
    <w:rsid w:val="008028A4"/>
    <w:rsid w:val="00820B25"/>
    <w:rsid w:val="00830747"/>
    <w:rsid w:val="008579A2"/>
    <w:rsid w:val="008604D7"/>
    <w:rsid w:val="008768CA"/>
    <w:rsid w:val="00877E2E"/>
    <w:rsid w:val="00887FBB"/>
    <w:rsid w:val="008A29F9"/>
    <w:rsid w:val="008B69B4"/>
    <w:rsid w:val="008C384C"/>
    <w:rsid w:val="008C6809"/>
    <w:rsid w:val="008E7986"/>
    <w:rsid w:val="0090271F"/>
    <w:rsid w:val="00902E23"/>
    <w:rsid w:val="0091134B"/>
    <w:rsid w:val="009114D7"/>
    <w:rsid w:val="0091348E"/>
    <w:rsid w:val="00917CCB"/>
    <w:rsid w:val="00942EC2"/>
    <w:rsid w:val="009A1A40"/>
    <w:rsid w:val="009C54C8"/>
    <w:rsid w:val="009C575A"/>
    <w:rsid w:val="009E35FC"/>
    <w:rsid w:val="009F37B7"/>
    <w:rsid w:val="009F5E43"/>
    <w:rsid w:val="00A03C1D"/>
    <w:rsid w:val="00A10F02"/>
    <w:rsid w:val="00A164B4"/>
    <w:rsid w:val="00A26956"/>
    <w:rsid w:val="00A53724"/>
    <w:rsid w:val="00A73129"/>
    <w:rsid w:val="00A73DFA"/>
    <w:rsid w:val="00A80A9A"/>
    <w:rsid w:val="00A82346"/>
    <w:rsid w:val="00A92BA1"/>
    <w:rsid w:val="00AC6BC6"/>
    <w:rsid w:val="00AE3797"/>
    <w:rsid w:val="00AE5E4B"/>
    <w:rsid w:val="00AF6831"/>
    <w:rsid w:val="00B15449"/>
    <w:rsid w:val="00B22B0B"/>
    <w:rsid w:val="00B324CC"/>
    <w:rsid w:val="00B52F3D"/>
    <w:rsid w:val="00B93086"/>
    <w:rsid w:val="00BA19ED"/>
    <w:rsid w:val="00BA300B"/>
    <w:rsid w:val="00BA4B8D"/>
    <w:rsid w:val="00BA7D5B"/>
    <w:rsid w:val="00BC0F7D"/>
    <w:rsid w:val="00BD7461"/>
    <w:rsid w:val="00BD7698"/>
    <w:rsid w:val="00BE3255"/>
    <w:rsid w:val="00BF128E"/>
    <w:rsid w:val="00C1496A"/>
    <w:rsid w:val="00C33079"/>
    <w:rsid w:val="00C40310"/>
    <w:rsid w:val="00C45231"/>
    <w:rsid w:val="00C72833"/>
    <w:rsid w:val="00C80F1D"/>
    <w:rsid w:val="00C8519A"/>
    <w:rsid w:val="00C93F40"/>
    <w:rsid w:val="00CA3D0C"/>
    <w:rsid w:val="00CA4D79"/>
    <w:rsid w:val="00CB431F"/>
    <w:rsid w:val="00CC0756"/>
    <w:rsid w:val="00CE5E6C"/>
    <w:rsid w:val="00CF20E3"/>
    <w:rsid w:val="00CF76AE"/>
    <w:rsid w:val="00D136C8"/>
    <w:rsid w:val="00D169B5"/>
    <w:rsid w:val="00D309CC"/>
    <w:rsid w:val="00D46431"/>
    <w:rsid w:val="00D510DF"/>
    <w:rsid w:val="00D54762"/>
    <w:rsid w:val="00D56A52"/>
    <w:rsid w:val="00D57972"/>
    <w:rsid w:val="00D64FF0"/>
    <w:rsid w:val="00D675A9"/>
    <w:rsid w:val="00D738D6"/>
    <w:rsid w:val="00D755EB"/>
    <w:rsid w:val="00D87E00"/>
    <w:rsid w:val="00D9134D"/>
    <w:rsid w:val="00D92ABC"/>
    <w:rsid w:val="00DA7A03"/>
    <w:rsid w:val="00DB1818"/>
    <w:rsid w:val="00DB59EA"/>
    <w:rsid w:val="00DC309B"/>
    <w:rsid w:val="00DC4DA2"/>
    <w:rsid w:val="00DD4C17"/>
    <w:rsid w:val="00DF2B1F"/>
    <w:rsid w:val="00DF6189"/>
    <w:rsid w:val="00DF62CD"/>
    <w:rsid w:val="00E13F90"/>
    <w:rsid w:val="00E16509"/>
    <w:rsid w:val="00E44582"/>
    <w:rsid w:val="00E52814"/>
    <w:rsid w:val="00E52A34"/>
    <w:rsid w:val="00E72324"/>
    <w:rsid w:val="00E72ABE"/>
    <w:rsid w:val="00E77645"/>
    <w:rsid w:val="00E9062D"/>
    <w:rsid w:val="00E90B5D"/>
    <w:rsid w:val="00E91FF9"/>
    <w:rsid w:val="00E94D85"/>
    <w:rsid w:val="00EC4A25"/>
    <w:rsid w:val="00EE5AA7"/>
    <w:rsid w:val="00EF0142"/>
    <w:rsid w:val="00F025A2"/>
    <w:rsid w:val="00F03AE3"/>
    <w:rsid w:val="00F04712"/>
    <w:rsid w:val="00F05DBF"/>
    <w:rsid w:val="00F21311"/>
    <w:rsid w:val="00F22EC7"/>
    <w:rsid w:val="00F325C8"/>
    <w:rsid w:val="00F37DEE"/>
    <w:rsid w:val="00F545F8"/>
    <w:rsid w:val="00F62AEB"/>
    <w:rsid w:val="00F63CEF"/>
    <w:rsid w:val="00F653B8"/>
    <w:rsid w:val="00F656B6"/>
    <w:rsid w:val="00F70647"/>
    <w:rsid w:val="00F71718"/>
    <w:rsid w:val="00F964E8"/>
    <w:rsid w:val="00FA1266"/>
    <w:rsid w:val="00FC1192"/>
    <w:rsid w:val="00FF6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customStyle="1" w:styleId="a">
    <w:name w:val="正文"/>
    <w:rsid w:val="009C54C8"/>
    <w:pPr>
      <w:overflowPunct w:val="0"/>
      <w:autoSpaceDE w:val="0"/>
      <w:autoSpaceDN w:val="0"/>
      <w:adjustRightInd w:val="0"/>
      <w:spacing w:before="100" w:beforeAutospacing="1" w:after="180"/>
      <w:textAlignment w:val="baseline"/>
    </w:pPr>
    <w:rPr>
      <w:sz w:val="24"/>
      <w:szCs w:val="24"/>
      <w:lang w:val="en-US" w:eastAsia="zh-CN"/>
    </w:rPr>
  </w:style>
  <w:style w:type="paragraph" w:customStyle="1" w:styleId="a0">
    <w:name w:val="列出段落"/>
    <w:basedOn w:val="Normal"/>
    <w:rsid w:val="00237384"/>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ListParagraph">
    <w:name w:val="List Paragraph"/>
    <w:basedOn w:val="Normal"/>
    <w:uiPriority w:val="34"/>
    <w:qFormat/>
    <w:rsid w:val="00716DB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63684">
      <w:bodyDiv w:val="1"/>
      <w:marLeft w:val="0"/>
      <w:marRight w:val="0"/>
      <w:marTop w:val="0"/>
      <w:marBottom w:val="0"/>
      <w:divBdr>
        <w:top w:val="none" w:sz="0" w:space="0" w:color="auto"/>
        <w:left w:val="none" w:sz="0" w:space="0" w:color="auto"/>
        <w:bottom w:val="none" w:sz="0" w:space="0" w:color="auto"/>
        <w:right w:val="none" w:sz="0" w:space="0" w:color="auto"/>
      </w:divBdr>
    </w:div>
    <w:div w:id="103381338">
      <w:bodyDiv w:val="1"/>
      <w:marLeft w:val="0"/>
      <w:marRight w:val="0"/>
      <w:marTop w:val="0"/>
      <w:marBottom w:val="0"/>
      <w:divBdr>
        <w:top w:val="none" w:sz="0" w:space="0" w:color="auto"/>
        <w:left w:val="none" w:sz="0" w:space="0" w:color="auto"/>
        <w:bottom w:val="none" w:sz="0" w:space="0" w:color="auto"/>
        <w:right w:val="none" w:sz="0" w:space="0" w:color="auto"/>
      </w:divBdr>
      <w:divsChild>
        <w:div w:id="1557081027">
          <w:marLeft w:val="2376"/>
          <w:marRight w:val="0"/>
          <w:marTop w:val="0"/>
          <w:marBottom w:val="0"/>
          <w:divBdr>
            <w:top w:val="none" w:sz="0" w:space="0" w:color="auto"/>
            <w:left w:val="none" w:sz="0" w:space="0" w:color="auto"/>
            <w:bottom w:val="none" w:sz="0" w:space="0" w:color="auto"/>
            <w:right w:val="none" w:sz="0" w:space="0" w:color="auto"/>
          </w:divBdr>
        </w:div>
        <w:div w:id="1493715960">
          <w:marLeft w:val="2376"/>
          <w:marRight w:val="0"/>
          <w:marTop w:val="0"/>
          <w:marBottom w:val="0"/>
          <w:divBdr>
            <w:top w:val="none" w:sz="0" w:space="0" w:color="auto"/>
            <w:left w:val="none" w:sz="0" w:space="0" w:color="auto"/>
            <w:bottom w:val="none" w:sz="0" w:space="0" w:color="auto"/>
            <w:right w:val="none" w:sz="0" w:space="0" w:color="auto"/>
          </w:divBdr>
        </w:div>
      </w:divsChild>
    </w:div>
    <w:div w:id="446898182">
      <w:bodyDiv w:val="1"/>
      <w:marLeft w:val="0"/>
      <w:marRight w:val="0"/>
      <w:marTop w:val="0"/>
      <w:marBottom w:val="0"/>
      <w:divBdr>
        <w:top w:val="none" w:sz="0" w:space="0" w:color="auto"/>
        <w:left w:val="none" w:sz="0" w:space="0" w:color="auto"/>
        <w:bottom w:val="none" w:sz="0" w:space="0" w:color="auto"/>
        <w:right w:val="none" w:sz="0" w:space="0" w:color="auto"/>
      </w:divBdr>
      <w:divsChild>
        <w:div w:id="308288932">
          <w:marLeft w:val="360"/>
          <w:marRight w:val="0"/>
          <w:marTop w:val="200"/>
          <w:marBottom w:val="0"/>
          <w:divBdr>
            <w:top w:val="none" w:sz="0" w:space="0" w:color="auto"/>
            <w:left w:val="none" w:sz="0" w:space="0" w:color="auto"/>
            <w:bottom w:val="none" w:sz="0" w:space="0" w:color="auto"/>
            <w:right w:val="none" w:sz="0" w:space="0" w:color="auto"/>
          </w:divBdr>
        </w:div>
      </w:divsChild>
    </w:div>
    <w:div w:id="518546371">
      <w:bodyDiv w:val="1"/>
      <w:marLeft w:val="0"/>
      <w:marRight w:val="0"/>
      <w:marTop w:val="0"/>
      <w:marBottom w:val="0"/>
      <w:divBdr>
        <w:top w:val="none" w:sz="0" w:space="0" w:color="auto"/>
        <w:left w:val="none" w:sz="0" w:space="0" w:color="auto"/>
        <w:bottom w:val="none" w:sz="0" w:space="0" w:color="auto"/>
        <w:right w:val="none" w:sz="0" w:space="0" w:color="auto"/>
      </w:divBdr>
    </w:div>
    <w:div w:id="636187825">
      <w:bodyDiv w:val="1"/>
      <w:marLeft w:val="0"/>
      <w:marRight w:val="0"/>
      <w:marTop w:val="0"/>
      <w:marBottom w:val="0"/>
      <w:divBdr>
        <w:top w:val="none" w:sz="0" w:space="0" w:color="auto"/>
        <w:left w:val="none" w:sz="0" w:space="0" w:color="auto"/>
        <w:bottom w:val="none" w:sz="0" w:space="0" w:color="auto"/>
        <w:right w:val="none" w:sz="0" w:space="0" w:color="auto"/>
      </w:divBdr>
    </w:div>
    <w:div w:id="637730994">
      <w:bodyDiv w:val="1"/>
      <w:marLeft w:val="0"/>
      <w:marRight w:val="0"/>
      <w:marTop w:val="0"/>
      <w:marBottom w:val="0"/>
      <w:divBdr>
        <w:top w:val="none" w:sz="0" w:space="0" w:color="auto"/>
        <w:left w:val="none" w:sz="0" w:space="0" w:color="auto"/>
        <w:bottom w:val="none" w:sz="0" w:space="0" w:color="auto"/>
        <w:right w:val="none" w:sz="0" w:space="0" w:color="auto"/>
      </w:divBdr>
    </w:div>
    <w:div w:id="829372338">
      <w:bodyDiv w:val="1"/>
      <w:marLeft w:val="0"/>
      <w:marRight w:val="0"/>
      <w:marTop w:val="0"/>
      <w:marBottom w:val="0"/>
      <w:divBdr>
        <w:top w:val="none" w:sz="0" w:space="0" w:color="auto"/>
        <w:left w:val="none" w:sz="0" w:space="0" w:color="auto"/>
        <w:bottom w:val="none" w:sz="0" w:space="0" w:color="auto"/>
        <w:right w:val="none" w:sz="0" w:space="0" w:color="auto"/>
      </w:divBdr>
    </w:div>
    <w:div w:id="910888516">
      <w:bodyDiv w:val="1"/>
      <w:marLeft w:val="0"/>
      <w:marRight w:val="0"/>
      <w:marTop w:val="0"/>
      <w:marBottom w:val="0"/>
      <w:divBdr>
        <w:top w:val="none" w:sz="0" w:space="0" w:color="auto"/>
        <w:left w:val="none" w:sz="0" w:space="0" w:color="auto"/>
        <w:bottom w:val="none" w:sz="0" w:space="0" w:color="auto"/>
        <w:right w:val="none" w:sz="0" w:space="0" w:color="auto"/>
      </w:divBdr>
    </w:div>
    <w:div w:id="1018312801">
      <w:bodyDiv w:val="1"/>
      <w:marLeft w:val="0"/>
      <w:marRight w:val="0"/>
      <w:marTop w:val="0"/>
      <w:marBottom w:val="0"/>
      <w:divBdr>
        <w:top w:val="none" w:sz="0" w:space="0" w:color="auto"/>
        <w:left w:val="none" w:sz="0" w:space="0" w:color="auto"/>
        <w:bottom w:val="none" w:sz="0" w:space="0" w:color="auto"/>
        <w:right w:val="none" w:sz="0" w:space="0" w:color="auto"/>
      </w:divBdr>
    </w:div>
    <w:div w:id="1053886097">
      <w:bodyDiv w:val="1"/>
      <w:marLeft w:val="0"/>
      <w:marRight w:val="0"/>
      <w:marTop w:val="0"/>
      <w:marBottom w:val="0"/>
      <w:divBdr>
        <w:top w:val="none" w:sz="0" w:space="0" w:color="auto"/>
        <w:left w:val="none" w:sz="0" w:space="0" w:color="auto"/>
        <w:bottom w:val="none" w:sz="0" w:space="0" w:color="auto"/>
        <w:right w:val="none" w:sz="0" w:space="0" w:color="auto"/>
      </w:divBdr>
    </w:div>
    <w:div w:id="1091048914">
      <w:bodyDiv w:val="1"/>
      <w:marLeft w:val="0"/>
      <w:marRight w:val="0"/>
      <w:marTop w:val="0"/>
      <w:marBottom w:val="0"/>
      <w:divBdr>
        <w:top w:val="none" w:sz="0" w:space="0" w:color="auto"/>
        <w:left w:val="none" w:sz="0" w:space="0" w:color="auto"/>
        <w:bottom w:val="none" w:sz="0" w:space="0" w:color="auto"/>
        <w:right w:val="none" w:sz="0" w:space="0" w:color="auto"/>
      </w:divBdr>
    </w:div>
    <w:div w:id="1095899617">
      <w:bodyDiv w:val="1"/>
      <w:marLeft w:val="0"/>
      <w:marRight w:val="0"/>
      <w:marTop w:val="0"/>
      <w:marBottom w:val="0"/>
      <w:divBdr>
        <w:top w:val="none" w:sz="0" w:space="0" w:color="auto"/>
        <w:left w:val="none" w:sz="0" w:space="0" w:color="auto"/>
        <w:bottom w:val="none" w:sz="0" w:space="0" w:color="auto"/>
        <w:right w:val="none" w:sz="0" w:space="0" w:color="auto"/>
      </w:divBdr>
      <w:divsChild>
        <w:div w:id="754861435">
          <w:marLeft w:val="360"/>
          <w:marRight w:val="0"/>
          <w:marTop w:val="200"/>
          <w:marBottom w:val="0"/>
          <w:divBdr>
            <w:top w:val="none" w:sz="0" w:space="0" w:color="auto"/>
            <w:left w:val="none" w:sz="0" w:space="0" w:color="auto"/>
            <w:bottom w:val="none" w:sz="0" w:space="0" w:color="auto"/>
            <w:right w:val="none" w:sz="0" w:space="0" w:color="auto"/>
          </w:divBdr>
        </w:div>
        <w:div w:id="998311597">
          <w:marLeft w:val="1080"/>
          <w:marRight w:val="0"/>
          <w:marTop w:val="100"/>
          <w:marBottom w:val="0"/>
          <w:divBdr>
            <w:top w:val="none" w:sz="0" w:space="0" w:color="auto"/>
            <w:left w:val="none" w:sz="0" w:space="0" w:color="auto"/>
            <w:bottom w:val="none" w:sz="0" w:space="0" w:color="auto"/>
            <w:right w:val="none" w:sz="0" w:space="0" w:color="auto"/>
          </w:divBdr>
        </w:div>
        <w:div w:id="329408201">
          <w:marLeft w:val="1800"/>
          <w:marRight w:val="0"/>
          <w:marTop w:val="100"/>
          <w:marBottom w:val="0"/>
          <w:divBdr>
            <w:top w:val="none" w:sz="0" w:space="0" w:color="auto"/>
            <w:left w:val="none" w:sz="0" w:space="0" w:color="auto"/>
            <w:bottom w:val="none" w:sz="0" w:space="0" w:color="auto"/>
            <w:right w:val="none" w:sz="0" w:space="0" w:color="auto"/>
          </w:divBdr>
        </w:div>
        <w:div w:id="775826593">
          <w:marLeft w:val="1800"/>
          <w:marRight w:val="0"/>
          <w:marTop w:val="100"/>
          <w:marBottom w:val="0"/>
          <w:divBdr>
            <w:top w:val="none" w:sz="0" w:space="0" w:color="auto"/>
            <w:left w:val="none" w:sz="0" w:space="0" w:color="auto"/>
            <w:bottom w:val="none" w:sz="0" w:space="0" w:color="auto"/>
            <w:right w:val="none" w:sz="0" w:space="0" w:color="auto"/>
          </w:divBdr>
        </w:div>
        <w:div w:id="844592105">
          <w:marLeft w:val="1800"/>
          <w:marRight w:val="0"/>
          <w:marTop w:val="100"/>
          <w:marBottom w:val="0"/>
          <w:divBdr>
            <w:top w:val="none" w:sz="0" w:space="0" w:color="auto"/>
            <w:left w:val="none" w:sz="0" w:space="0" w:color="auto"/>
            <w:bottom w:val="none" w:sz="0" w:space="0" w:color="auto"/>
            <w:right w:val="none" w:sz="0" w:space="0" w:color="auto"/>
          </w:divBdr>
        </w:div>
        <w:div w:id="100301447">
          <w:marLeft w:val="1800"/>
          <w:marRight w:val="0"/>
          <w:marTop w:val="100"/>
          <w:marBottom w:val="0"/>
          <w:divBdr>
            <w:top w:val="none" w:sz="0" w:space="0" w:color="auto"/>
            <w:left w:val="none" w:sz="0" w:space="0" w:color="auto"/>
            <w:bottom w:val="none" w:sz="0" w:space="0" w:color="auto"/>
            <w:right w:val="none" w:sz="0" w:space="0" w:color="auto"/>
          </w:divBdr>
        </w:div>
        <w:div w:id="1244754458">
          <w:marLeft w:val="1800"/>
          <w:marRight w:val="0"/>
          <w:marTop w:val="100"/>
          <w:marBottom w:val="0"/>
          <w:divBdr>
            <w:top w:val="none" w:sz="0" w:space="0" w:color="auto"/>
            <w:left w:val="none" w:sz="0" w:space="0" w:color="auto"/>
            <w:bottom w:val="none" w:sz="0" w:space="0" w:color="auto"/>
            <w:right w:val="none" w:sz="0" w:space="0" w:color="auto"/>
          </w:divBdr>
        </w:div>
        <w:div w:id="903560733">
          <w:marLeft w:val="360"/>
          <w:marRight w:val="0"/>
          <w:marTop w:val="200"/>
          <w:marBottom w:val="0"/>
          <w:divBdr>
            <w:top w:val="none" w:sz="0" w:space="0" w:color="auto"/>
            <w:left w:val="none" w:sz="0" w:space="0" w:color="auto"/>
            <w:bottom w:val="none" w:sz="0" w:space="0" w:color="auto"/>
            <w:right w:val="none" w:sz="0" w:space="0" w:color="auto"/>
          </w:divBdr>
        </w:div>
        <w:div w:id="1979721984">
          <w:marLeft w:val="1080"/>
          <w:marRight w:val="0"/>
          <w:marTop w:val="100"/>
          <w:marBottom w:val="0"/>
          <w:divBdr>
            <w:top w:val="none" w:sz="0" w:space="0" w:color="auto"/>
            <w:left w:val="none" w:sz="0" w:space="0" w:color="auto"/>
            <w:bottom w:val="none" w:sz="0" w:space="0" w:color="auto"/>
            <w:right w:val="none" w:sz="0" w:space="0" w:color="auto"/>
          </w:divBdr>
        </w:div>
        <w:div w:id="257952488">
          <w:marLeft w:val="360"/>
          <w:marRight w:val="0"/>
          <w:marTop w:val="200"/>
          <w:marBottom w:val="0"/>
          <w:divBdr>
            <w:top w:val="none" w:sz="0" w:space="0" w:color="auto"/>
            <w:left w:val="none" w:sz="0" w:space="0" w:color="auto"/>
            <w:bottom w:val="none" w:sz="0" w:space="0" w:color="auto"/>
            <w:right w:val="none" w:sz="0" w:space="0" w:color="auto"/>
          </w:divBdr>
        </w:div>
        <w:div w:id="1776435580">
          <w:marLeft w:val="1080"/>
          <w:marRight w:val="0"/>
          <w:marTop w:val="100"/>
          <w:marBottom w:val="0"/>
          <w:divBdr>
            <w:top w:val="none" w:sz="0" w:space="0" w:color="auto"/>
            <w:left w:val="none" w:sz="0" w:space="0" w:color="auto"/>
            <w:bottom w:val="none" w:sz="0" w:space="0" w:color="auto"/>
            <w:right w:val="none" w:sz="0" w:space="0" w:color="auto"/>
          </w:divBdr>
        </w:div>
        <w:div w:id="145510029">
          <w:marLeft w:val="1080"/>
          <w:marRight w:val="0"/>
          <w:marTop w:val="100"/>
          <w:marBottom w:val="0"/>
          <w:divBdr>
            <w:top w:val="none" w:sz="0" w:space="0" w:color="auto"/>
            <w:left w:val="none" w:sz="0" w:space="0" w:color="auto"/>
            <w:bottom w:val="none" w:sz="0" w:space="0" w:color="auto"/>
            <w:right w:val="none" w:sz="0" w:space="0" w:color="auto"/>
          </w:divBdr>
        </w:div>
        <w:div w:id="461458929">
          <w:marLeft w:val="1080"/>
          <w:marRight w:val="0"/>
          <w:marTop w:val="100"/>
          <w:marBottom w:val="0"/>
          <w:divBdr>
            <w:top w:val="none" w:sz="0" w:space="0" w:color="auto"/>
            <w:left w:val="none" w:sz="0" w:space="0" w:color="auto"/>
            <w:bottom w:val="none" w:sz="0" w:space="0" w:color="auto"/>
            <w:right w:val="none" w:sz="0" w:space="0" w:color="auto"/>
          </w:divBdr>
        </w:div>
      </w:divsChild>
    </w:div>
    <w:div w:id="1182235666">
      <w:bodyDiv w:val="1"/>
      <w:marLeft w:val="0"/>
      <w:marRight w:val="0"/>
      <w:marTop w:val="0"/>
      <w:marBottom w:val="0"/>
      <w:divBdr>
        <w:top w:val="none" w:sz="0" w:space="0" w:color="auto"/>
        <w:left w:val="none" w:sz="0" w:space="0" w:color="auto"/>
        <w:bottom w:val="none" w:sz="0" w:space="0" w:color="auto"/>
        <w:right w:val="none" w:sz="0" w:space="0" w:color="auto"/>
      </w:divBdr>
    </w:div>
    <w:div w:id="1216696962">
      <w:bodyDiv w:val="1"/>
      <w:marLeft w:val="0"/>
      <w:marRight w:val="0"/>
      <w:marTop w:val="0"/>
      <w:marBottom w:val="0"/>
      <w:divBdr>
        <w:top w:val="none" w:sz="0" w:space="0" w:color="auto"/>
        <w:left w:val="none" w:sz="0" w:space="0" w:color="auto"/>
        <w:bottom w:val="none" w:sz="0" w:space="0" w:color="auto"/>
        <w:right w:val="none" w:sz="0" w:space="0" w:color="auto"/>
      </w:divBdr>
    </w:div>
    <w:div w:id="1262838206">
      <w:bodyDiv w:val="1"/>
      <w:marLeft w:val="0"/>
      <w:marRight w:val="0"/>
      <w:marTop w:val="0"/>
      <w:marBottom w:val="0"/>
      <w:divBdr>
        <w:top w:val="none" w:sz="0" w:space="0" w:color="auto"/>
        <w:left w:val="none" w:sz="0" w:space="0" w:color="auto"/>
        <w:bottom w:val="none" w:sz="0" w:space="0" w:color="auto"/>
        <w:right w:val="none" w:sz="0" w:space="0" w:color="auto"/>
      </w:divBdr>
    </w:div>
    <w:div w:id="1550069867">
      <w:bodyDiv w:val="1"/>
      <w:marLeft w:val="0"/>
      <w:marRight w:val="0"/>
      <w:marTop w:val="0"/>
      <w:marBottom w:val="0"/>
      <w:divBdr>
        <w:top w:val="none" w:sz="0" w:space="0" w:color="auto"/>
        <w:left w:val="none" w:sz="0" w:space="0" w:color="auto"/>
        <w:bottom w:val="none" w:sz="0" w:space="0" w:color="auto"/>
        <w:right w:val="none" w:sz="0" w:space="0" w:color="auto"/>
      </w:divBdr>
    </w:div>
    <w:div w:id="1732384115">
      <w:bodyDiv w:val="1"/>
      <w:marLeft w:val="0"/>
      <w:marRight w:val="0"/>
      <w:marTop w:val="0"/>
      <w:marBottom w:val="0"/>
      <w:divBdr>
        <w:top w:val="none" w:sz="0" w:space="0" w:color="auto"/>
        <w:left w:val="none" w:sz="0" w:space="0" w:color="auto"/>
        <w:bottom w:val="none" w:sz="0" w:space="0" w:color="auto"/>
        <w:right w:val="none" w:sz="0" w:space="0" w:color="auto"/>
      </w:divBdr>
      <w:divsChild>
        <w:div w:id="865093967">
          <w:marLeft w:val="0"/>
          <w:marRight w:val="0"/>
          <w:marTop w:val="0"/>
          <w:marBottom w:val="0"/>
          <w:divBdr>
            <w:top w:val="none" w:sz="0" w:space="0" w:color="auto"/>
            <w:left w:val="none" w:sz="0" w:space="0" w:color="auto"/>
            <w:bottom w:val="none" w:sz="0" w:space="0" w:color="auto"/>
            <w:right w:val="none" w:sz="0" w:space="0" w:color="auto"/>
          </w:divBdr>
        </w:div>
        <w:div w:id="1797987787">
          <w:marLeft w:val="0"/>
          <w:marRight w:val="0"/>
          <w:marTop w:val="0"/>
          <w:marBottom w:val="0"/>
          <w:divBdr>
            <w:top w:val="none" w:sz="0" w:space="0" w:color="auto"/>
            <w:left w:val="none" w:sz="0" w:space="0" w:color="auto"/>
            <w:bottom w:val="none" w:sz="0" w:space="0" w:color="auto"/>
            <w:right w:val="none" w:sz="0" w:space="0" w:color="auto"/>
          </w:divBdr>
        </w:div>
        <w:div w:id="142088545">
          <w:marLeft w:val="0"/>
          <w:marRight w:val="0"/>
          <w:marTop w:val="0"/>
          <w:marBottom w:val="0"/>
          <w:divBdr>
            <w:top w:val="none" w:sz="0" w:space="0" w:color="auto"/>
            <w:left w:val="none" w:sz="0" w:space="0" w:color="auto"/>
            <w:bottom w:val="none" w:sz="0" w:space="0" w:color="auto"/>
            <w:right w:val="none" w:sz="0" w:space="0" w:color="auto"/>
          </w:divBdr>
        </w:div>
        <w:div w:id="882138188">
          <w:marLeft w:val="0"/>
          <w:marRight w:val="0"/>
          <w:marTop w:val="0"/>
          <w:marBottom w:val="0"/>
          <w:divBdr>
            <w:top w:val="none" w:sz="0" w:space="0" w:color="auto"/>
            <w:left w:val="none" w:sz="0" w:space="0" w:color="auto"/>
            <w:bottom w:val="none" w:sz="0" w:space="0" w:color="auto"/>
            <w:right w:val="none" w:sz="0" w:space="0" w:color="auto"/>
          </w:divBdr>
        </w:div>
        <w:div w:id="1967661353">
          <w:marLeft w:val="0"/>
          <w:marRight w:val="0"/>
          <w:marTop w:val="0"/>
          <w:marBottom w:val="0"/>
          <w:divBdr>
            <w:top w:val="none" w:sz="0" w:space="0" w:color="auto"/>
            <w:left w:val="none" w:sz="0" w:space="0" w:color="auto"/>
            <w:bottom w:val="none" w:sz="0" w:space="0" w:color="auto"/>
            <w:right w:val="none" w:sz="0" w:space="0" w:color="auto"/>
          </w:divBdr>
        </w:div>
      </w:divsChild>
    </w:div>
    <w:div w:id="1762795242">
      <w:bodyDiv w:val="1"/>
      <w:marLeft w:val="0"/>
      <w:marRight w:val="0"/>
      <w:marTop w:val="0"/>
      <w:marBottom w:val="0"/>
      <w:divBdr>
        <w:top w:val="none" w:sz="0" w:space="0" w:color="auto"/>
        <w:left w:val="none" w:sz="0" w:space="0" w:color="auto"/>
        <w:bottom w:val="none" w:sz="0" w:space="0" w:color="auto"/>
        <w:right w:val="none" w:sz="0" w:space="0" w:color="auto"/>
      </w:divBdr>
    </w:div>
    <w:div w:id="1774856728">
      <w:bodyDiv w:val="1"/>
      <w:marLeft w:val="0"/>
      <w:marRight w:val="0"/>
      <w:marTop w:val="0"/>
      <w:marBottom w:val="0"/>
      <w:divBdr>
        <w:top w:val="none" w:sz="0" w:space="0" w:color="auto"/>
        <w:left w:val="none" w:sz="0" w:space="0" w:color="auto"/>
        <w:bottom w:val="none" w:sz="0" w:space="0" w:color="auto"/>
        <w:right w:val="none" w:sz="0" w:space="0" w:color="auto"/>
      </w:divBdr>
    </w:div>
    <w:div w:id="2089618689">
      <w:bodyDiv w:val="1"/>
      <w:marLeft w:val="0"/>
      <w:marRight w:val="0"/>
      <w:marTop w:val="0"/>
      <w:marBottom w:val="0"/>
      <w:divBdr>
        <w:top w:val="none" w:sz="0" w:space="0" w:color="auto"/>
        <w:left w:val="none" w:sz="0" w:space="0" w:color="auto"/>
        <w:bottom w:val="none" w:sz="0" w:space="0" w:color="auto"/>
        <w:right w:val="none" w:sz="0" w:space="0" w:color="auto"/>
      </w:divBdr>
      <w:divsChild>
        <w:div w:id="2026205829">
          <w:marLeft w:val="965"/>
          <w:marRight w:val="0"/>
          <w:marTop w:val="0"/>
          <w:marBottom w:val="0"/>
          <w:divBdr>
            <w:top w:val="none" w:sz="0" w:space="0" w:color="auto"/>
            <w:left w:val="none" w:sz="0" w:space="0" w:color="auto"/>
            <w:bottom w:val="none" w:sz="0" w:space="0" w:color="auto"/>
            <w:right w:val="none" w:sz="0" w:space="0" w:color="auto"/>
          </w:divBdr>
        </w:div>
        <w:div w:id="1352534169">
          <w:marLeft w:val="965"/>
          <w:marRight w:val="0"/>
          <w:marTop w:val="0"/>
          <w:marBottom w:val="0"/>
          <w:divBdr>
            <w:top w:val="none" w:sz="0" w:space="0" w:color="auto"/>
            <w:left w:val="none" w:sz="0" w:space="0" w:color="auto"/>
            <w:bottom w:val="none" w:sz="0" w:space="0" w:color="auto"/>
            <w:right w:val="none" w:sz="0" w:space="0" w:color="auto"/>
          </w:divBdr>
        </w:div>
        <w:div w:id="2025478679">
          <w:marLeft w:val="96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D9F00-F4A4-0A4A-88EF-431ED02C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Haiming HM14 Wang</cp:lastModifiedBy>
  <cp:revision>13</cp:revision>
  <cp:lastPrinted>2019-02-25T13:05:00Z</cp:lastPrinted>
  <dcterms:created xsi:type="dcterms:W3CDTF">2021-03-04T08:10:00Z</dcterms:created>
  <dcterms:modified xsi:type="dcterms:W3CDTF">2021-03-15T00:59:00Z</dcterms:modified>
  <cp:category/>
</cp:coreProperties>
</file>